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33DF" w14:textId="2835EF03" w:rsidR="003B0BC7" w:rsidRPr="003B0BC7" w:rsidRDefault="00154A03" w:rsidP="003B0BC7">
      <w:pPr>
        <w:tabs>
          <w:tab w:val="left" w:pos="284"/>
        </w:tabs>
        <w:jc w:val="center"/>
        <w:rPr>
          <w:rFonts w:ascii="Arial" w:hAnsi="Arial" w:cs="Arial"/>
          <w:b/>
          <w:sz w:val="40"/>
          <w:szCs w:val="40"/>
        </w:rPr>
      </w:pPr>
      <w:r w:rsidRPr="003B0BC7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79BF5" wp14:editId="1598F684">
                <wp:simplePos x="0" y="0"/>
                <wp:positionH relativeFrom="column">
                  <wp:posOffset>4490720</wp:posOffset>
                </wp:positionH>
                <wp:positionV relativeFrom="paragraph">
                  <wp:posOffset>-554990</wp:posOffset>
                </wp:positionV>
                <wp:extent cx="1143000" cy="381000"/>
                <wp:effectExtent l="0" t="0" r="0" b="0"/>
                <wp:wrapNone/>
                <wp:docPr id="10320753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ECAD" w14:textId="77777777" w:rsidR="00064928" w:rsidRDefault="00064928" w:rsidP="003B0BC7">
                            <w:pPr>
                              <w:jc w:val="right"/>
                            </w:pPr>
                            <w:r w:rsidRPr="00185105">
                              <w:rPr>
                                <w:b/>
                                <w:sz w:val="28"/>
                                <w:szCs w:val="28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79B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3.6pt;margin-top:-43.7pt;width:9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" stroked="f">
                <v:textbox>
                  <w:txbxContent>
                    <w:p w14:paraId="787FECAD" w14:textId="77777777" w:rsidR="00064928" w:rsidRDefault="00064928" w:rsidP="003B0BC7">
                      <w:pPr>
                        <w:jc w:val="right"/>
                      </w:pPr>
                      <w:r w:rsidRPr="00185105">
                        <w:rPr>
                          <w:b/>
                          <w:sz w:val="28"/>
                          <w:szCs w:val="28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 w:rsidR="002E7237" w:rsidRPr="003B0BC7">
        <w:rPr>
          <w:rFonts w:ascii="Arial" w:hAnsi="Arial" w:cs="Arial"/>
          <w:b/>
          <w:sz w:val="40"/>
          <w:szCs w:val="40"/>
        </w:rPr>
        <w:t>Reglement</w:t>
      </w:r>
    </w:p>
    <w:p w14:paraId="317EB24D" w14:textId="77777777" w:rsidR="003B0BC7" w:rsidRPr="003B0BC7" w:rsidRDefault="003B0BC7" w:rsidP="00F05598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14:paraId="648B07F7" w14:textId="77777777" w:rsidR="003B0BC7" w:rsidRPr="003B0BC7" w:rsidRDefault="002E7237" w:rsidP="003B0BC7">
      <w:pPr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  <w:r w:rsidRPr="003B0BC7">
        <w:rPr>
          <w:rFonts w:ascii="Arial" w:hAnsi="Arial" w:cs="Arial"/>
          <w:b/>
          <w:sz w:val="28"/>
          <w:szCs w:val="28"/>
        </w:rPr>
        <w:t>betreffend die</w:t>
      </w:r>
    </w:p>
    <w:p w14:paraId="44BD8052" w14:textId="77777777" w:rsidR="003B0BC7" w:rsidRPr="003B0BC7" w:rsidRDefault="003B0BC7" w:rsidP="003B0BC7">
      <w:pPr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</w:p>
    <w:p w14:paraId="34F0B1B7" w14:textId="77777777" w:rsidR="002E7237" w:rsidRPr="003B0BC7" w:rsidRDefault="002E7237" w:rsidP="003B0BC7">
      <w:pPr>
        <w:tabs>
          <w:tab w:val="left" w:pos="284"/>
        </w:tabs>
        <w:jc w:val="center"/>
        <w:rPr>
          <w:rFonts w:ascii="Arial" w:hAnsi="Arial" w:cs="Arial"/>
          <w:b/>
          <w:sz w:val="28"/>
          <w:szCs w:val="28"/>
        </w:rPr>
      </w:pPr>
      <w:r w:rsidRPr="003B0BC7">
        <w:rPr>
          <w:rFonts w:ascii="Arial" w:hAnsi="Arial" w:cs="Arial"/>
          <w:b/>
          <w:sz w:val="28"/>
          <w:szCs w:val="28"/>
        </w:rPr>
        <w:t>Übertragung der Wasserversorgungsaufgabe an eine selbständige Trä</w:t>
      </w:r>
      <w:r w:rsidR="003A20C7" w:rsidRPr="003B0BC7">
        <w:rPr>
          <w:rFonts w:ascii="Arial" w:hAnsi="Arial" w:cs="Arial"/>
          <w:b/>
          <w:sz w:val="28"/>
          <w:szCs w:val="28"/>
        </w:rPr>
        <w:t>ger</w:t>
      </w:r>
      <w:r w:rsidRPr="003B0BC7">
        <w:rPr>
          <w:rFonts w:ascii="Arial" w:hAnsi="Arial" w:cs="Arial"/>
          <w:b/>
          <w:sz w:val="28"/>
          <w:szCs w:val="28"/>
        </w:rPr>
        <w:t xml:space="preserve">schaft (nachfolgend </w:t>
      </w:r>
      <w:r w:rsidR="003B0BC7" w:rsidRPr="003B0BC7">
        <w:rPr>
          <w:rFonts w:ascii="Arial" w:hAnsi="Arial" w:cs="Arial"/>
          <w:b/>
          <w:sz w:val="28"/>
          <w:szCs w:val="28"/>
        </w:rPr>
        <w:t xml:space="preserve">"WV </w:t>
      </w:r>
      <w:r w:rsidR="00B5483C" w:rsidRPr="00B5483C">
        <w:rPr>
          <w:rFonts w:ascii="Arial" w:hAnsi="Arial" w:cs="Arial"/>
          <w:b/>
          <w:sz w:val="28"/>
          <w:szCs w:val="28"/>
        </w:rPr>
        <w:t>……….</w:t>
      </w:r>
      <w:r w:rsidR="003B0BC7" w:rsidRPr="003B0BC7">
        <w:rPr>
          <w:rFonts w:ascii="Arial" w:hAnsi="Arial" w:cs="Arial"/>
          <w:b/>
          <w:sz w:val="28"/>
          <w:szCs w:val="28"/>
        </w:rPr>
        <w:t>")</w:t>
      </w:r>
      <w:r w:rsidR="003A20C7" w:rsidRPr="003B0BC7">
        <w:rPr>
          <w:rFonts w:ascii="Arial" w:hAnsi="Arial" w:cs="Arial"/>
          <w:b/>
          <w:sz w:val="28"/>
          <w:szCs w:val="28"/>
        </w:rPr>
        <w:t xml:space="preserve"> </w:t>
      </w:r>
      <w:r w:rsidRPr="003B0BC7">
        <w:rPr>
          <w:rFonts w:ascii="Arial" w:hAnsi="Arial" w:cs="Arial"/>
          <w:b/>
          <w:sz w:val="28"/>
          <w:szCs w:val="28"/>
        </w:rPr>
        <w:t>genannt</w:t>
      </w:r>
    </w:p>
    <w:p w14:paraId="10DE90DA" w14:textId="77777777" w:rsidR="008E3FD3" w:rsidRPr="003B0BC7" w:rsidRDefault="008E3FD3" w:rsidP="00F05598">
      <w:pPr>
        <w:rPr>
          <w:rFonts w:ascii="Arial" w:hAnsi="Arial" w:cs="Arial"/>
          <w:b/>
        </w:rPr>
      </w:pPr>
    </w:p>
    <w:p w14:paraId="4567A6BB" w14:textId="77777777" w:rsidR="003B0BC7" w:rsidRPr="003B0BC7" w:rsidRDefault="003B0BC7" w:rsidP="00F05598">
      <w:pPr>
        <w:rPr>
          <w:rFonts w:ascii="Arial" w:hAnsi="Arial" w:cs="Arial"/>
          <w:b/>
        </w:rPr>
      </w:pPr>
    </w:p>
    <w:p w14:paraId="34741BDE" w14:textId="77777777" w:rsidR="00185105" w:rsidRPr="003B0BC7" w:rsidRDefault="002E7237" w:rsidP="00F05598">
      <w:pPr>
        <w:rPr>
          <w:rFonts w:ascii="Arial" w:hAnsi="Arial" w:cs="Arial"/>
        </w:rPr>
      </w:pPr>
      <w:r w:rsidRPr="003B0BC7">
        <w:rPr>
          <w:rFonts w:ascii="Arial" w:hAnsi="Arial" w:cs="Arial"/>
          <w:sz w:val="24"/>
          <w:szCs w:val="24"/>
        </w:rPr>
        <w:t xml:space="preserve">Die Einwohnergemeinde </w:t>
      </w:r>
      <w:r w:rsidR="003B0BC7" w:rsidRPr="003B0BC7">
        <w:rPr>
          <w:rFonts w:ascii="Arial" w:hAnsi="Arial" w:cs="Arial"/>
          <w:sz w:val="24"/>
          <w:szCs w:val="24"/>
        </w:rPr>
        <w:t>……</w:t>
      </w:r>
      <w:r w:rsidR="00063FC6">
        <w:rPr>
          <w:rFonts w:ascii="Arial" w:hAnsi="Arial" w:cs="Arial"/>
          <w:sz w:val="24"/>
          <w:szCs w:val="24"/>
        </w:rPr>
        <w:t>…………………………..</w:t>
      </w:r>
      <w:r w:rsidR="003B0BC7" w:rsidRPr="003B0BC7">
        <w:rPr>
          <w:rFonts w:ascii="Arial" w:hAnsi="Arial" w:cs="Arial"/>
          <w:sz w:val="24"/>
          <w:szCs w:val="24"/>
        </w:rPr>
        <w:t>………</w:t>
      </w:r>
    </w:p>
    <w:p w14:paraId="655DD582" w14:textId="77777777" w:rsidR="003B0BC7" w:rsidRPr="003B0BC7" w:rsidRDefault="003B0BC7" w:rsidP="00F05598">
      <w:pPr>
        <w:rPr>
          <w:rFonts w:ascii="Arial" w:hAnsi="Arial" w:cs="Arial"/>
        </w:rPr>
      </w:pPr>
    </w:p>
    <w:p w14:paraId="5BD4CF77" w14:textId="77777777" w:rsidR="002E7237" w:rsidRPr="003B0BC7" w:rsidRDefault="002E7237" w:rsidP="00F05598">
      <w:pPr>
        <w:rPr>
          <w:rFonts w:ascii="Arial" w:hAnsi="Arial" w:cs="Arial"/>
        </w:rPr>
      </w:pPr>
      <w:r w:rsidRPr="003B0BC7">
        <w:rPr>
          <w:rFonts w:ascii="Arial" w:hAnsi="Arial" w:cs="Arial"/>
        </w:rPr>
        <w:t xml:space="preserve">gestützt auf </w:t>
      </w:r>
    </w:p>
    <w:p w14:paraId="0E27F002" w14:textId="77777777" w:rsidR="003B0BC7" w:rsidRPr="003B0BC7" w:rsidRDefault="003B0BC7" w:rsidP="00F05598">
      <w:pPr>
        <w:rPr>
          <w:rFonts w:ascii="Arial" w:hAnsi="Arial" w:cs="Arial"/>
        </w:rPr>
      </w:pPr>
    </w:p>
    <w:p w14:paraId="2D2F4628" w14:textId="77777777" w:rsidR="002E7237" w:rsidRPr="003B0BC7" w:rsidRDefault="002E7237" w:rsidP="00063FC6">
      <w:pPr>
        <w:numPr>
          <w:ilvl w:val="0"/>
          <w:numId w:val="13"/>
        </w:numPr>
        <w:tabs>
          <w:tab w:val="clear" w:pos="720"/>
        </w:tabs>
        <w:ind w:left="360"/>
        <w:rPr>
          <w:rFonts w:ascii="Arial" w:hAnsi="Arial" w:cs="Arial"/>
        </w:rPr>
      </w:pPr>
      <w:r w:rsidRPr="003B0BC7">
        <w:rPr>
          <w:rFonts w:ascii="Arial" w:hAnsi="Arial" w:cs="Arial"/>
        </w:rPr>
        <w:t xml:space="preserve">Artikel 6 Absatz 2 des Wasserversorgungsgesetzes vom 11. November 1996 und </w:t>
      </w:r>
    </w:p>
    <w:p w14:paraId="09A346AC" w14:textId="77777777" w:rsidR="002E7237" w:rsidRPr="003B0BC7" w:rsidRDefault="002E7237" w:rsidP="00063FC6">
      <w:pPr>
        <w:numPr>
          <w:ilvl w:val="0"/>
          <w:numId w:val="13"/>
        </w:numPr>
        <w:tabs>
          <w:tab w:val="clear" w:pos="720"/>
        </w:tabs>
        <w:ind w:left="360"/>
        <w:rPr>
          <w:rFonts w:ascii="Arial" w:hAnsi="Arial" w:cs="Arial"/>
        </w:rPr>
      </w:pPr>
      <w:r w:rsidRPr="003B0BC7">
        <w:rPr>
          <w:rFonts w:ascii="Arial" w:hAnsi="Arial" w:cs="Arial"/>
        </w:rPr>
        <w:t>Artikel 64 und 68 des Gemeindegesetzes vom 16. März 1998</w:t>
      </w:r>
    </w:p>
    <w:p w14:paraId="57DAFBAA" w14:textId="77777777" w:rsidR="008E3FD3" w:rsidRPr="003B0BC7" w:rsidRDefault="008E3FD3" w:rsidP="00F05598">
      <w:pPr>
        <w:rPr>
          <w:rFonts w:ascii="Arial" w:hAnsi="Arial" w:cs="Arial"/>
        </w:rPr>
      </w:pPr>
    </w:p>
    <w:p w14:paraId="06F59808" w14:textId="77777777" w:rsidR="008E3FD3" w:rsidRPr="003B0BC7" w:rsidRDefault="00185105" w:rsidP="00F05598">
      <w:pPr>
        <w:rPr>
          <w:rFonts w:ascii="Arial" w:hAnsi="Arial" w:cs="Arial"/>
          <w:sz w:val="24"/>
          <w:szCs w:val="24"/>
        </w:rPr>
      </w:pPr>
      <w:r w:rsidRPr="003B0BC7">
        <w:rPr>
          <w:rFonts w:ascii="Arial" w:hAnsi="Arial" w:cs="Arial"/>
          <w:sz w:val="24"/>
          <w:szCs w:val="24"/>
        </w:rPr>
        <w:t>e</w:t>
      </w:r>
      <w:r w:rsidR="002E7237" w:rsidRPr="003B0BC7">
        <w:rPr>
          <w:rFonts w:ascii="Arial" w:hAnsi="Arial" w:cs="Arial"/>
          <w:sz w:val="24"/>
          <w:szCs w:val="24"/>
        </w:rPr>
        <w:t>rlässt folgendes Reglement</w:t>
      </w:r>
    </w:p>
    <w:p w14:paraId="16D61445" w14:textId="77777777" w:rsidR="008E3FD3" w:rsidRPr="003B0BC7" w:rsidRDefault="008E3FD3" w:rsidP="00F05598">
      <w:pPr>
        <w:rPr>
          <w:rFonts w:ascii="Arial" w:hAnsi="Arial" w:cs="Arial"/>
        </w:rPr>
      </w:pPr>
    </w:p>
    <w:p w14:paraId="2DD458BC" w14:textId="77777777" w:rsidR="008E3FD3" w:rsidRPr="003B0BC7" w:rsidRDefault="008E3FD3" w:rsidP="00F0559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185105" w:rsidRPr="003B0BC7" w14:paraId="19CAF7E5" w14:textId="77777777">
        <w:trPr>
          <w:cantSplit/>
        </w:trPr>
        <w:tc>
          <w:tcPr>
            <w:tcW w:w="2055" w:type="dxa"/>
          </w:tcPr>
          <w:p w14:paraId="465CEA94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5A01823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1</w:t>
            </w:r>
          </w:p>
        </w:tc>
      </w:tr>
      <w:tr w:rsidR="008E3FD3" w:rsidRPr="003B0BC7" w14:paraId="1A9CB8D4" w14:textId="77777777">
        <w:trPr>
          <w:cantSplit/>
        </w:trPr>
        <w:tc>
          <w:tcPr>
            <w:tcW w:w="2055" w:type="dxa"/>
          </w:tcPr>
          <w:p w14:paraId="1A94C55D" w14:textId="77777777" w:rsidR="008E3FD3" w:rsidRPr="003B0BC7" w:rsidRDefault="002E7237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Grundsatz</w:t>
            </w:r>
          </w:p>
        </w:tc>
        <w:tc>
          <w:tcPr>
            <w:tcW w:w="7229" w:type="dxa"/>
          </w:tcPr>
          <w:p w14:paraId="58644AF7" w14:textId="77777777" w:rsidR="008E3FD3" w:rsidRPr="003B0BC7" w:rsidRDefault="008E3FD3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1 </w:t>
            </w:r>
            <w:r w:rsidRPr="003B0BC7">
              <w:rPr>
                <w:rFonts w:ascii="Arial" w:hAnsi="Arial" w:cs="Arial"/>
              </w:rPr>
              <w:t>D</w:t>
            </w:r>
            <w:r w:rsidR="002E7237" w:rsidRPr="003B0BC7">
              <w:rPr>
                <w:rFonts w:ascii="Arial" w:hAnsi="Arial" w:cs="Arial"/>
              </w:rPr>
              <w:t xml:space="preserve">ie Sicherstellung der öffentlichen Wasserversorgung </w:t>
            </w:r>
            <w:r w:rsidR="0044085A" w:rsidRPr="003B0BC7">
              <w:rPr>
                <w:rFonts w:ascii="Arial" w:hAnsi="Arial" w:cs="Arial"/>
              </w:rPr>
              <w:t>einschliesslich</w:t>
            </w:r>
            <w:r w:rsidR="002E7237" w:rsidRPr="003B0BC7">
              <w:rPr>
                <w:rFonts w:ascii="Arial" w:hAnsi="Arial" w:cs="Arial"/>
              </w:rPr>
              <w:t xml:space="preserve"> des Hydrantenlöschschutzes ist grundsätzlich eine Gemeindeaufgabe.</w:t>
            </w:r>
          </w:p>
        </w:tc>
      </w:tr>
      <w:tr w:rsidR="008E3FD3" w:rsidRPr="003B0BC7" w14:paraId="6568D733" w14:textId="77777777">
        <w:trPr>
          <w:cantSplit/>
        </w:trPr>
        <w:tc>
          <w:tcPr>
            <w:tcW w:w="2055" w:type="dxa"/>
          </w:tcPr>
          <w:p w14:paraId="096B615B" w14:textId="77777777" w:rsidR="008E3FD3" w:rsidRPr="003B0BC7" w:rsidRDefault="008E3FD3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7828658" w14:textId="77777777" w:rsidR="008E3FD3" w:rsidRPr="003B0BC7" w:rsidRDefault="008E3FD3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2 </w:t>
            </w:r>
            <w:r w:rsidR="002E7237" w:rsidRPr="003B0BC7">
              <w:rPr>
                <w:rFonts w:ascii="Arial" w:hAnsi="Arial" w:cs="Arial"/>
              </w:rPr>
              <w:t>Der Gemeinderat kann unter Einhaltung nachfolgende</w:t>
            </w:r>
            <w:r w:rsidR="003B0BC7" w:rsidRPr="003B0BC7">
              <w:rPr>
                <w:rFonts w:ascii="Arial" w:hAnsi="Arial" w:cs="Arial"/>
              </w:rPr>
              <w:t>r</w:t>
            </w:r>
            <w:r w:rsidR="002E7237" w:rsidRPr="003B0BC7">
              <w:rPr>
                <w:rFonts w:ascii="Arial" w:hAnsi="Arial" w:cs="Arial"/>
              </w:rPr>
              <w:t xml:space="preserve"> Bestimmungen die Aufgabe einer selbständigen Trägerschaf</w:t>
            </w:r>
            <w:r w:rsidR="003B0BC7" w:rsidRPr="003B0BC7">
              <w:rPr>
                <w:rFonts w:ascii="Arial" w:hAnsi="Arial" w:cs="Arial"/>
              </w:rPr>
              <w:t>t</w:t>
            </w:r>
            <w:r w:rsidR="003A20C7" w:rsidRPr="003B0BC7">
              <w:rPr>
                <w:rStyle w:val="Funotenzeichen"/>
                <w:rFonts w:ascii="Arial" w:hAnsi="Arial" w:cs="Arial"/>
              </w:rPr>
              <w:footnoteReference w:id="1"/>
            </w:r>
            <w:r w:rsidR="002E7237" w:rsidRPr="003B0BC7">
              <w:rPr>
                <w:rFonts w:ascii="Arial" w:hAnsi="Arial" w:cs="Arial"/>
              </w:rPr>
              <w:t xml:space="preserve"> übertragen</w:t>
            </w:r>
            <w:r w:rsidR="003A20C7" w:rsidRPr="003B0BC7">
              <w:rPr>
                <w:rFonts w:ascii="Arial" w:hAnsi="Arial" w:cs="Arial"/>
              </w:rPr>
              <w:t xml:space="preserve"> (nachfolgend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="00063FC6">
              <w:rPr>
                <w:rFonts w:ascii="Arial" w:hAnsi="Arial" w:cs="Arial"/>
              </w:rPr>
              <w:t xml:space="preserve">) </w:t>
            </w:r>
            <w:r w:rsidR="003A20C7" w:rsidRPr="003B0BC7">
              <w:rPr>
                <w:rFonts w:ascii="Arial" w:hAnsi="Arial" w:cs="Arial"/>
              </w:rPr>
              <w:t>genannt</w:t>
            </w:r>
            <w:r w:rsidR="002E7237" w:rsidRPr="003B0BC7">
              <w:rPr>
                <w:rFonts w:ascii="Arial" w:hAnsi="Arial" w:cs="Arial"/>
              </w:rPr>
              <w:t xml:space="preserve">. </w:t>
            </w:r>
          </w:p>
        </w:tc>
      </w:tr>
      <w:tr w:rsidR="008E3FD3" w:rsidRPr="003B0BC7" w14:paraId="16E3A364" w14:textId="77777777">
        <w:trPr>
          <w:cantSplit/>
        </w:trPr>
        <w:tc>
          <w:tcPr>
            <w:tcW w:w="2055" w:type="dxa"/>
          </w:tcPr>
          <w:p w14:paraId="0214BBD6" w14:textId="77777777" w:rsidR="008E3FD3" w:rsidRPr="003B0BC7" w:rsidRDefault="008E3FD3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076C154" w14:textId="77777777" w:rsidR="008E3FD3" w:rsidRPr="003B0BC7" w:rsidRDefault="008E3FD3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185105" w:rsidRPr="003B0BC7" w14:paraId="5D242E6C" w14:textId="77777777">
        <w:trPr>
          <w:cantSplit/>
        </w:trPr>
        <w:tc>
          <w:tcPr>
            <w:tcW w:w="2055" w:type="dxa"/>
          </w:tcPr>
          <w:p w14:paraId="35FFDEB6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40FCC7A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2</w:t>
            </w:r>
          </w:p>
        </w:tc>
      </w:tr>
      <w:tr w:rsidR="008E3FD3" w:rsidRPr="003B0BC7" w14:paraId="13B57D78" w14:textId="77777777">
        <w:trPr>
          <w:cantSplit/>
        </w:trPr>
        <w:tc>
          <w:tcPr>
            <w:tcW w:w="2055" w:type="dxa"/>
          </w:tcPr>
          <w:p w14:paraId="5015D7B9" w14:textId="77777777" w:rsidR="008E3FD3" w:rsidRPr="003B0BC7" w:rsidRDefault="002E7237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Rechtsgrundlagen</w:t>
            </w:r>
            <w:r w:rsidR="008E3FD3" w:rsidRPr="003B0B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14:paraId="7101C306" w14:textId="77777777" w:rsidR="002E7237" w:rsidRPr="003B0BC7" w:rsidRDefault="002E7237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1 </w:t>
            </w:r>
            <w:r w:rsidR="008E3FD3" w:rsidRPr="003B0BC7">
              <w:rPr>
                <w:rFonts w:ascii="Arial" w:hAnsi="Arial" w:cs="Arial"/>
              </w:rPr>
              <w:t xml:space="preserve">Die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="003A20C7" w:rsidRPr="003B0BC7">
              <w:rPr>
                <w:rFonts w:ascii="Arial" w:hAnsi="Arial" w:cs="Arial"/>
              </w:rPr>
              <w:t xml:space="preserve"> </w:t>
            </w:r>
            <w:r w:rsidRPr="003B0BC7">
              <w:rPr>
                <w:rFonts w:ascii="Arial" w:hAnsi="Arial" w:cs="Arial"/>
              </w:rPr>
              <w:t>erl</w:t>
            </w:r>
            <w:r w:rsidR="003A20C7" w:rsidRPr="003B0BC7">
              <w:rPr>
                <w:rFonts w:ascii="Arial" w:hAnsi="Arial" w:cs="Arial"/>
              </w:rPr>
              <w:t>ässt</w:t>
            </w:r>
            <w:r w:rsidRPr="003B0BC7">
              <w:rPr>
                <w:rFonts w:ascii="Arial" w:hAnsi="Arial" w:cs="Arial"/>
              </w:rPr>
              <w:t xml:space="preserve"> zur Erfüllung ihrer Aufgabe </w:t>
            </w:r>
          </w:p>
          <w:p w14:paraId="6BA3AFD1" w14:textId="77777777" w:rsidR="002E7237" w:rsidRPr="003B0BC7" w:rsidRDefault="002E7237" w:rsidP="00752DBB">
            <w:pPr>
              <w:numPr>
                <w:ilvl w:val="0"/>
                <w:numId w:val="2"/>
              </w:numPr>
              <w:tabs>
                <w:tab w:val="clear" w:pos="72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Statuten bzw. ein Organisationsreglement</w:t>
            </w:r>
            <w:r w:rsidR="00185105" w:rsidRPr="003B0BC7">
              <w:rPr>
                <w:rFonts w:ascii="Arial" w:hAnsi="Arial" w:cs="Arial"/>
              </w:rPr>
              <w:t>,</w:t>
            </w:r>
          </w:p>
          <w:p w14:paraId="019CE1D6" w14:textId="77777777" w:rsidR="002E7237" w:rsidRPr="003B0BC7" w:rsidRDefault="002E7237" w:rsidP="00752DBB">
            <w:pPr>
              <w:numPr>
                <w:ilvl w:val="0"/>
                <w:numId w:val="2"/>
              </w:numPr>
              <w:tabs>
                <w:tab w:val="clear" w:pos="72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ein Wasserversorgungsreglement und</w:t>
            </w:r>
          </w:p>
          <w:p w14:paraId="7A907A6C" w14:textId="77777777" w:rsidR="008E3FD3" w:rsidRPr="003B0BC7" w:rsidRDefault="002E7237" w:rsidP="00752DBB">
            <w:pPr>
              <w:numPr>
                <w:ilvl w:val="0"/>
                <w:numId w:val="2"/>
              </w:numPr>
              <w:tabs>
                <w:tab w:val="clear" w:pos="720"/>
              </w:tabs>
              <w:spacing w:after="120"/>
              <w:ind w:left="357" w:hanging="357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einen Wassertarif</w:t>
            </w:r>
            <w:r w:rsidR="00185105" w:rsidRPr="003B0BC7">
              <w:rPr>
                <w:rFonts w:ascii="Arial" w:hAnsi="Arial" w:cs="Arial"/>
              </w:rPr>
              <w:t>.</w:t>
            </w:r>
          </w:p>
        </w:tc>
      </w:tr>
      <w:tr w:rsidR="002E7237" w:rsidRPr="003B0BC7" w14:paraId="1CB75B35" w14:textId="77777777">
        <w:trPr>
          <w:cantSplit/>
        </w:trPr>
        <w:tc>
          <w:tcPr>
            <w:tcW w:w="2055" w:type="dxa"/>
          </w:tcPr>
          <w:p w14:paraId="349B29C1" w14:textId="77777777" w:rsidR="002E7237" w:rsidRPr="003B0BC7" w:rsidRDefault="002E7237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F9D9DB1" w14:textId="0ABE4679" w:rsidR="002E7237" w:rsidRPr="003B0BC7" w:rsidRDefault="002E7237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2 </w:t>
            </w:r>
            <w:r w:rsidRPr="003B0BC7">
              <w:rPr>
                <w:rFonts w:ascii="Arial" w:hAnsi="Arial" w:cs="Arial"/>
              </w:rPr>
              <w:t xml:space="preserve">Ist die Trägerschaft privatrechtlich organisiert, bedürfen deren Grundlagen der Genehmigung des </w:t>
            </w:r>
            <w:r w:rsidR="00717197">
              <w:rPr>
                <w:rFonts w:ascii="Arial" w:hAnsi="Arial" w:cs="Arial"/>
              </w:rPr>
              <w:t>Amts für Wasser und Abfall des Kantons Bern</w:t>
            </w:r>
            <w:r w:rsidRPr="003B0BC7">
              <w:rPr>
                <w:rFonts w:ascii="Arial" w:hAnsi="Arial" w:cs="Arial"/>
              </w:rPr>
              <w:t>.</w:t>
            </w:r>
          </w:p>
        </w:tc>
      </w:tr>
      <w:tr w:rsidR="002E7237" w:rsidRPr="003B0BC7" w14:paraId="23202397" w14:textId="77777777">
        <w:trPr>
          <w:cantSplit/>
        </w:trPr>
        <w:tc>
          <w:tcPr>
            <w:tcW w:w="2055" w:type="dxa"/>
          </w:tcPr>
          <w:p w14:paraId="4132B3CE" w14:textId="77777777" w:rsidR="002E7237" w:rsidRPr="003B0BC7" w:rsidRDefault="002E7237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128BE7A" w14:textId="77777777" w:rsidR="002E7237" w:rsidRPr="003B0BC7" w:rsidRDefault="002E7237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3 </w:t>
            </w:r>
            <w:r w:rsidRPr="003B0BC7">
              <w:rPr>
                <w:rFonts w:ascii="Arial" w:hAnsi="Arial" w:cs="Arial"/>
              </w:rPr>
              <w:t xml:space="preserve">Die erlassenen Grundlagen dürfen den Bestimmungen dieses </w:t>
            </w:r>
            <w:r w:rsidR="003A20C7" w:rsidRPr="003B0BC7">
              <w:rPr>
                <w:rFonts w:ascii="Arial" w:hAnsi="Arial" w:cs="Arial"/>
              </w:rPr>
              <w:t>R</w:t>
            </w:r>
            <w:r w:rsidRPr="003B0BC7">
              <w:rPr>
                <w:rFonts w:ascii="Arial" w:hAnsi="Arial" w:cs="Arial"/>
              </w:rPr>
              <w:t xml:space="preserve">eglementes und der kantonalen </w:t>
            </w:r>
            <w:r w:rsidR="003A20C7" w:rsidRPr="003B0BC7">
              <w:rPr>
                <w:rFonts w:ascii="Arial" w:hAnsi="Arial" w:cs="Arial"/>
              </w:rPr>
              <w:t>G</w:t>
            </w:r>
            <w:r w:rsidRPr="003B0BC7">
              <w:rPr>
                <w:rFonts w:ascii="Arial" w:hAnsi="Arial" w:cs="Arial"/>
              </w:rPr>
              <w:t xml:space="preserve">esetzgebung über die Wasserversorgung nicht widersprechen. </w:t>
            </w:r>
          </w:p>
        </w:tc>
      </w:tr>
      <w:tr w:rsidR="00185105" w:rsidRPr="003B0BC7" w14:paraId="61C9F008" w14:textId="77777777">
        <w:trPr>
          <w:cantSplit/>
        </w:trPr>
        <w:tc>
          <w:tcPr>
            <w:tcW w:w="2055" w:type="dxa"/>
          </w:tcPr>
          <w:p w14:paraId="23022675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48A1EBD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185105" w:rsidRPr="003B0BC7" w14:paraId="6FF37AD3" w14:textId="77777777">
        <w:trPr>
          <w:cantSplit/>
        </w:trPr>
        <w:tc>
          <w:tcPr>
            <w:tcW w:w="2055" w:type="dxa"/>
          </w:tcPr>
          <w:p w14:paraId="1B0A45AA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41F4DAA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3</w:t>
            </w:r>
          </w:p>
        </w:tc>
      </w:tr>
      <w:tr w:rsidR="002E7237" w:rsidRPr="003B0BC7" w14:paraId="5AD06F91" w14:textId="77777777">
        <w:trPr>
          <w:cantSplit/>
        </w:trPr>
        <w:tc>
          <w:tcPr>
            <w:tcW w:w="2055" w:type="dxa"/>
          </w:tcPr>
          <w:p w14:paraId="6ABBEB75" w14:textId="77777777" w:rsidR="003A20C7" w:rsidRPr="003B0BC7" w:rsidRDefault="003A20C7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Verfügungsbefugnis</w:t>
            </w:r>
          </w:p>
        </w:tc>
        <w:tc>
          <w:tcPr>
            <w:tcW w:w="7229" w:type="dxa"/>
          </w:tcPr>
          <w:p w14:paraId="4644DC9E" w14:textId="77777777" w:rsidR="003278F4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1 </w:t>
            </w:r>
            <w:r w:rsidR="003278F4" w:rsidRPr="003B0BC7">
              <w:rPr>
                <w:rFonts w:ascii="Arial" w:hAnsi="Arial" w:cs="Arial"/>
              </w:rPr>
              <w:t xml:space="preserve">Die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="003278F4" w:rsidRPr="003B0BC7">
              <w:rPr>
                <w:rFonts w:ascii="Arial" w:hAnsi="Arial" w:cs="Arial"/>
              </w:rPr>
              <w:t xml:space="preserve"> </w:t>
            </w:r>
            <w:r w:rsidR="003A20C7" w:rsidRPr="003B0BC7">
              <w:rPr>
                <w:rFonts w:ascii="Arial" w:hAnsi="Arial" w:cs="Arial"/>
              </w:rPr>
              <w:t>ist</w:t>
            </w:r>
            <w:r w:rsidR="003278F4" w:rsidRPr="003B0BC7">
              <w:rPr>
                <w:rFonts w:ascii="Arial" w:hAnsi="Arial" w:cs="Arial"/>
              </w:rPr>
              <w:t xml:space="preserve"> im Rahmen der Erfüllung ihrer Aufgaben nach di</w:t>
            </w:r>
            <w:r w:rsidR="003A20C7" w:rsidRPr="003B0BC7">
              <w:rPr>
                <w:rFonts w:ascii="Arial" w:hAnsi="Arial" w:cs="Arial"/>
              </w:rPr>
              <w:t>e</w:t>
            </w:r>
            <w:r w:rsidR="003278F4" w:rsidRPr="003B0BC7">
              <w:rPr>
                <w:rFonts w:ascii="Arial" w:hAnsi="Arial" w:cs="Arial"/>
              </w:rPr>
              <w:t xml:space="preserve">sem Reglement hinsichtlich ihrer Rechte und Pflichten der Einwohnergemeinde gleichgestellt. </w:t>
            </w:r>
          </w:p>
        </w:tc>
      </w:tr>
      <w:tr w:rsidR="00185105" w:rsidRPr="003B0BC7" w14:paraId="2BF2C9DC" w14:textId="77777777">
        <w:trPr>
          <w:cantSplit/>
        </w:trPr>
        <w:tc>
          <w:tcPr>
            <w:tcW w:w="2055" w:type="dxa"/>
          </w:tcPr>
          <w:p w14:paraId="0954E32C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89BCC21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2 </w:t>
            </w:r>
            <w:r w:rsidRPr="003B0BC7">
              <w:rPr>
                <w:rFonts w:ascii="Arial" w:hAnsi="Arial" w:cs="Arial"/>
              </w:rPr>
              <w:t>Sie kann insbesondere Gebühren erheben und Verfügungen erlassen.</w:t>
            </w:r>
          </w:p>
        </w:tc>
      </w:tr>
      <w:tr w:rsidR="0000268D" w:rsidRPr="003B0BC7" w14:paraId="538811A2" w14:textId="77777777">
        <w:trPr>
          <w:cantSplit/>
        </w:trPr>
        <w:tc>
          <w:tcPr>
            <w:tcW w:w="2055" w:type="dxa"/>
          </w:tcPr>
          <w:p w14:paraId="1C36B56C" w14:textId="77777777" w:rsidR="0000268D" w:rsidRPr="003B0BC7" w:rsidRDefault="0000268D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9DAA20F" w14:textId="77777777" w:rsidR="0000268D" w:rsidRPr="003B0BC7" w:rsidRDefault="0000268D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8E3FD3" w:rsidRPr="003B0BC7" w14:paraId="639FAE2A" w14:textId="77777777">
        <w:trPr>
          <w:cantSplit/>
        </w:trPr>
        <w:tc>
          <w:tcPr>
            <w:tcW w:w="2055" w:type="dxa"/>
          </w:tcPr>
          <w:p w14:paraId="26195B2E" w14:textId="77777777" w:rsidR="008E3FD3" w:rsidRPr="003B0BC7" w:rsidRDefault="008E3FD3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5CBB9B2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3</w:t>
            </w:r>
            <w:r w:rsidR="00185105" w:rsidRPr="003B0BC7">
              <w:rPr>
                <w:rFonts w:ascii="Arial" w:hAnsi="Arial" w:cs="Arial"/>
                <w:b/>
              </w:rPr>
              <w:t>a</w:t>
            </w:r>
            <w:r w:rsidR="00B5483C">
              <w:rPr>
                <w:rStyle w:val="Funotenzeichen"/>
                <w:rFonts w:ascii="Arial" w:hAnsi="Arial" w:cs="Arial"/>
                <w:b/>
              </w:rPr>
              <w:footnoteReference w:id="2"/>
            </w:r>
            <w:r w:rsidR="003A20C7" w:rsidRPr="003B0BC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A63AC" w:rsidRPr="003B0BC7" w14:paraId="5F0BE91A" w14:textId="77777777">
        <w:trPr>
          <w:cantSplit/>
        </w:trPr>
        <w:tc>
          <w:tcPr>
            <w:tcW w:w="2055" w:type="dxa"/>
          </w:tcPr>
          <w:p w14:paraId="7FE96C8D" w14:textId="77777777" w:rsidR="009A63AC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Koordination</w:t>
            </w:r>
          </w:p>
        </w:tc>
        <w:tc>
          <w:tcPr>
            <w:tcW w:w="7229" w:type="dxa"/>
          </w:tcPr>
          <w:p w14:paraId="38F6619F" w14:textId="77777777" w:rsidR="009A63AC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1 </w:t>
            </w:r>
            <w:r w:rsidRPr="003B0BC7">
              <w:rPr>
                <w:rFonts w:ascii="Arial" w:hAnsi="Arial" w:cs="Arial"/>
              </w:rPr>
              <w:t>Die Einwohnergemeinde …</w:t>
            </w:r>
            <w:r w:rsidR="0000268D">
              <w:rPr>
                <w:rFonts w:ascii="Arial" w:hAnsi="Arial" w:cs="Arial"/>
              </w:rPr>
              <w:t>……….</w:t>
            </w:r>
            <w:r w:rsidRPr="003B0BC7">
              <w:rPr>
                <w:rFonts w:ascii="Arial" w:hAnsi="Arial" w:cs="Arial"/>
              </w:rPr>
              <w:t>…</w:t>
            </w:r>
            <w:r w:rsidR="0000268D">
              <w:rPr>
                <w:rFonts w:ascii="Arial" w:hAnsi="Arial" w:cs="Arial"/>
              </w:rPr>
              <w:t xml:space="preserve"> </w:t>
            </w:r>
            <w:r w:rsidRPr="003B0BC7">
              <w:rPr>
                <w:rFonts w:ascii="Arial" w:hAnsi="Arial" w:cs="Arial"/>
              </w:rPr>
              <w:t>sorgt</w:t>
            </w:r>
            <w:r w:rsidR="0000268D">
              <w:rPr>
                <w:rFonts w:ascii="Arial" w:hAnsi="Arial" w:cs="Arial"/>
              </w:rPr>
              <w:t xml:space="preserve">, falls </w:t>
            </w:r>
            <w:r w:rsidRPr="003B0BC7">
              <w:rPr>
                <w:rFonts w:ascii="Arial" w:hAnsi="Arial" w:cs="Arial"/>
              </w:rPr>
              <w:t>mehrere Wasserve</w:t>
            </w:r>
            <w:r w:rsidR="0000268D">
              <w:rPr>
                <w:rFonts w:ascii="Arial" w:hAnsi="Arial" w:cs="Arial"/>
              </w:rPr>
              <w:t>r</w:t>
            </w:r>
            <w:r w:rsidRPr="003B0BC7">
              <w:rPr>
                <w:rFonts w:ascii="Arial" w:hAnsi="Arial" w:cs="Arial"/>
              </w:rPr>
              <w:t>sorgungsträgerschaften bestehen, für eine ausreichende Koordination zwischen de</w:t>
            </w:r>
            <w:r w:rsidR="0000268D">
              <w:rPr>
                <w:rFonts w:ascii="Arial" w:hAnsi="Arial" w:cs="Arial"/>
              </w:rPr>
              <w:t>n</w:t>
            </w:r>
            <w:r w:rsidRPr="003B0BC7">
              <w:rPr>
                <w:rFonts w:ascii="Arial" w:hAnsi="Arial" w:cs="Arial"/>
              </w:rPr>
              <w:t xml:space="preserve"> Versorgungsträgerschaften, namentliche betreffend die generelle Wasserversorgungsplanung und die Ausgestaltung der Tarife. </w:t>
            </w:r>
          </w:p>
        </w:tc>
      </w:tr>
      <w:tr w:rsidR="003278F4" w:rsidRPr="003B0BC7" w14:paraId="53A8DC8D" w14:textId="77777777">
        <w:trPr>
          <w:cantSplit/>
        </w:trPr>
        <w:tc>
          <w:tcPr>
            <w:tcW w:w="2055" w:type="dxa"/>
          </w:tcPr>
          <w:p w14:paraId="66FA6A34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FC92BFA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2 </w:t>
            </w:r>
            <w:r w:rsidRPr="003B0BC7">
              <w:rPr>
                <w:rFonts w:ascii="Arial" w:hAnsi="Arial" w:cs="Arial"/>
              </w:rPr>
              <w:t xml:space="preserve">Der Gemeinderat kann zu diesem Zweck einen Ausschuss einsetzen. </w:t>
            </w:r>
          </w:p>
        </w:tc>
      </w:tr>
      <w:tr w:rsidR="003278F4" w:rsidRPr="003B0BC7" w14:paraId="1EFD0E33" w14:textId="77777777">
        <w:trPr>
          <w:cantSplit/>
        </w:trPr>
        <w:tc>
          <w:tcPr>
            <w:tcW w:w="2055" w:type="dxa"/>
          </w:tcPr>
          <w:p w14:paraId="1021F90C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25C0373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3 </w:t>
            </w:r>
            <w:r w:rsidRPr="003B0BC7">
              <w:rPr>
                <w:rFonts w:ascii="Arial" w:hAnsi="Arial" w:cs="Arial"/>
              </w:rPr>
              <w:t xml:space="preserve">Die Einwohnergemeinde hat das Recht, in die Exekutive der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Pr="003B0BC7">
              <w:rPr>
                <w:rFonts w:ascii="Arial" w:hAnsi="Arial" w:cs="Arial"/>
              </w:rPr>
              <w:t xml:space="preserve"> eine Person mit Stimmrecht abzuordnen. </w:t>
            </w:r>
          </w:p>
        </w:tc>
      </w:tr>
      <w:tr w:rsidR="003278F4" w:rsidRPr="003B0BC7" w14:paraId="329FD0D0" w14:textId="77777777">
        <w:trPr>
          <w:cantSplit/>
        </w:trPr>
        <w:tc>
          <w:tcPr>
            <w:tcW w:w="2055" w:type="dxa"/>
          </w:tcPr>
          <w:p w14:paraId="6D166F94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0C36253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</w:tr>
      <w:tr w:rsidR="003278F4" w:rsidRPr="003B0BC7" w14:paraId="4374EBA7" w14:textId="77777777">
        <w:trPr>
          <w:cantSplit/>
        </w:trPr>
        <w:tc>
          <w:tcPr>
            <w:tcW w:w="2055" w:type="dxa"/>
          </w:tcPr>
          <w:p w14:paraId="381A7A0E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AC9314B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 xml:space="preserve">Artikel </w:t>
            </w:r>
            <w:r w:rsidR="00185105" w:rsidRPr="003B0BC7">
              <w:rPr>
                <w:rFonts w:ascii="Arial" w:hAnsi="Arial" w:cs="Arial"/>
                <w:b/>
              </w:rPr>
              <w:t>4</w:t>
            </w:r>
          </w:p>
        </w:tc>
      </w:tr>
      <w:tr w:rsidR="003278F4" w:rsidRPr="003B0BC7" w14:paraId="4CE484A9" w14:textId="77777777">
        <w:trPr>
          <w:cantSplit/>
        </w:trPr>
        <w:tc>
          <w:tcPr>
            <w:tcW w:w="2055" w:type="dxa"/>
          </w:tcPr>
          <w:p w14:paraId="77814499" w14:textId="77777777" w:rsidR="003278F4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Leistungsauftrag</w:t>
            </w:r>
          </w:p>
        </w:tc>
        <w:tc>
          <w:tcPr>
            <w:tcW w:w="7229" w:type="dxa"/>
          </w:tcPr>
          <w:p w14:paraId="3531A71B" w14:textId="77777777" w:rsidR="003278F4" w:rsidRPr="003B0BC7" w:rsidRDefault="00EB735F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1 </w:t>
            </w:r>
            <w:r w:rsidR="003278F4" w:rsidRPr="003B0BC7">
              <w:rPr>
                <w:rFonts w:ascii="Arial" w:hAnsi="Arial" w:cs="Arial"/>
              </w:rPr>
              <w:t xml:space="preserve">Die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="003A20C7" w:rsidRPr="003B0BC7">
              <w:rPr>
                <w:rFonts w:ascii="Arial" w:hAnsi="Arial" w:cs="Arial"/>
              </w:rPr>
              <w:t xml:space="preserve"> </w:t>
            </w:r>
            <w:r w:rsidR="003278F4" w:rsidRPr="003B0BC7">
              <w:rPr>
                <w:rFonts w:ascii="Arial" w:hAnsi="Arial" w:cs="Arial"/>
              </w:rPr>
              <w:t>versorg</w:t>
            </w:r>
            <w:r w:rsidR="003A20C7" w:rsidRPr="003B0BC7">
              <w:rPr>
                <w:rFonts w:ascii="Arial" w:hAnsi="Arial" w:cs="Arial"/>
              </w:rPr>
              <w:t>t</w:t>
            </w:r>
            <w:r w:rsidR="003278F4" w:rsidRPr="003B0BC7">
              <w:rPr>
                <w:rFonts w:ascii="Arial" w:hAnsi="Arial" w:cs="Arial"/>
              </w:rPr>
              <w:t xml:space="preserve"> die Bevölkerung, die Gewerbe-, Industrie- und Dienstleistungsbetriebe mit ausreichend und qualitativ einwandfreiem Trink- und Brauchwasser. Sie sorg</w:t>
            </w:r>
            <w:r w:rsidR="0000268D">
              <w:rPr>
                <w:rFonts w:ascii="Arial" w:hAnsi="Arial" w:cs="Arial"/>
              </w:rPr>
              <w:t>t</w:t>
            </w:r>
            <w:r w:rsidR="003278F4" w:rsidRPr="003B0BC7">
              <w:rPr>
                <w:rFonts w:ascii="Arial" w:hAnsi="Arial" w:cs="Arial"/>
              </w:rPr>
              <w:t xml:space="preserve"> zudem für einen ausreichenden Hydrantenlöschschutz. </w:t>
            </w:r>
          </w:p>
        </w:tc>
      </w:tr>
      <w:tr w:rsidR="003278F4" w:rsidRPr="003B0BC7" w14:paraId="58C59E79" w14:textId="77777777">
        <w:trPr>
          <w:cantSplit/>
        </w:trPr>
        <w:tc>
          <w:tcPr>
            <w:tcW w:w="2055" w:type="dxa"/>
          </w:tcPr>
          <w:p w14:paraId="75C216AA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1EC7EB4" w14:textId="77777777" w:rsidR="003278F4" w:rsidRPr="003B0BC7" w:rsidRDefault="00EB735F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2 </w:t>
            </w:r>
            <w:r w:rsidR="003278F4" w:rsidRPr="003B0BC7">
              <w:rPr>
                <w:rFonts w:ascii="Arial" w:hAnsi="Arial" w:cs="Arial"/>
              </w:rPr>
              <w:t xml:space="preserve">Die übrigen Aufgaben richten sich nach dem Wasserversorgungsgesetz. </w:t>
            </w:r>
          </w:p>
        </w:tc>
      </w:tr>
      <w:tr w:rsidR="00185105" w:rsidRPr="003B0BC7" w14:paraId="683E3FF2" w14:textId="77777777">
        <w:trPr>
          <w:cantSplit/>
        </w:trPr>
        <w:tc>
          <w:tcPr>
            <w:tcW w:w="2055" w:type="dxa"/>
          </w:tcPr>
          <w:p w14:paraId="305D750E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C605F8C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185105" w:rsidRPr="003B0BC7" w14:paraId="2AF279D2" w14:textId="77777777">
        <w:trPr>
          <w:cantSplit/>
        </w:trPr>
        <w:tc>
          <w:tcPr>
            <w:tcW w:w="2055" w:type="dxa"/>
          </w:tcPr>
          <w:p w14:paraId="372808B2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5E27014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5</w:t>
            </w:r>
          </w:p>
        </w:tc>
      </w:tr>
      <w:tr w:rsidR="003278F4" w:rsidRPr="003B0BC7" w14:paraId="4C7817C3" w14:textId="77777777">
        <w:trPr>
          <w:cantSplit/>
        </w:trPr>
        <w:tc>
          <w:tcPr>
            <w:tcW w:w="2055" w:type="dxa"/>
          </w:tcPr>
          <w:p w14:paraId="33383CDD" w14:textId="77777777" w:rsidR="003278F4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Eigenwirtschaftlichkeit</w:t>
            </w:r>
          </w:p>
        </w:tc>
        <w:tc>
          <w:tcPr>
            <w:tcW w:w="7229" w:type="dxa"/>
          </w:tcPr>
          <w:p w14:paraId="0F83C062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1 </w:t>
            </w:r>
            <w:r w:rsidRPr="003B0BC7">
              <w:rPr>
                <w:rFonts w:ascii="Arial" w:hAnsi="Arial" w:cs="Arial"/>
              </w:rPr>
              <w:t>Die Aufgabe der Wasserversorgung, einschliesslich der Bereitstellung des Wassers für den Hydrantenlöschschutz, muss finanziell selbsttragend ausgestaltet werden.</w:t>
            </w:r>
          </w:p>
        </w:tc>
      </w:tr>
      <w:tr w:rsidR="003278F4" w:rsidRPr="003B0BC7" w14:paraId="17663C60" w14:textId="77777777">
        <w:trPr>
          <w:cantSplit/>
        </w:trPr>
        <w:tc>
          <w:tcPr>
            <w:tcW w:w="2055" w:type="dxa"/>
          </w:tcPr>
          <w:p w14:paraId="36347B77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6716617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2 </w:t>
            </w:r>
            <w:r w:rsidRPr="003B0BC7">
              <w:rPr>
                <w:rFonts w:ascii="Arial" w:hAnsi="Arial" w:cs="Arial"/>
              </w:rPr>
              <w:t xml:space="preserve">Die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="003A20C7" w:rsidRPr="003B0BC7">
              <w:rPr>
                <w:rFonts w:ascii="Arial" w:hAnsi="Arial" w:cs="Arial"/>
              </w:rPr>
              <w:t xml:space="preserve"> </w:t>
            </w:r>
            <w:r w:rsidRPr="003B0BC7">
              <w:rPr>
                <w:rFonts w:ascii="Arial" w:hAnsi="Arial" w:cs="Arial"/>
              </w:rPr>
              <w:t>führt</w:t>
            </w:r>
            <w:r w:rsidR="003A20C7" w:rsidRPr="003B0BC7">
              <w:rPr>
                <w:rFonts w:ascii="Arial" w:hAnsi="Arial" w:cs="Arial"/>
              </w:rPr>
              <w:t xml:space="preserve"> </w:t>
            </w:r>
            <w:r w:rsidRPr="003B0BC7">
              <w:rPr>
                <w:rFonts w:ascii="Arial" w:hAnsi="Arial" w:cs="Arial"/>
              </w:rPr>
              <w:t>eine Spezialfinanzierung. Die jährliche Einlage muss in einem angemessenen Verhältnis zum Wiederbeschaffungswert und zur Lebensdauer der Anlagen stehen.</w:t>
            </w:r>
          </w:p>
        </w:tc>
      </w:tr>
      <w:tr w:rsidR="003278F4" w:rsidRPr="003B0BC7" w14:paraId="50355DE0" w14:textId="77777777">
        <w:trPr>
          <w:cantSplit/>
        </w:trPr>
        <w:tc>
          <w:tcPr>
            <w:tcW w:w="2055" w:type="dxa"/>
          </w:tcPr>
          <w:p w14:paraId="4826F54F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99DA7A6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>3</w:t>
            </w:r>
            <w:r w:rsidRPr="003B0BC7">
              <w:rPr>
                <w:rFonts w:ascii="Arial" w:hAnsi="Arial" w:cs="Arial"/>
              </w:rPr>
              <w:t xml:space="preserve"> Die Einlagen in die Spezialfinanzierung müssen die dauernde Werterhaltung der Anlagen gewährleisten. Sie sind vorab für die Abschreibungen zu verwenden.</w:t>
            </w:r>
          </w:p>
        </w:tc>
      </w:tr>
      <w:tr w:rsidR="003278F4" w:rsidRPr="003B0BC7" w14:paraId="77D1B9A7" w14:textId="77777777">
        <w:trPr>
          <w:cantSplit/>
        </w:trPr>
        <w:tc>
          <w:tcPr>
            <w:tcW w:w="2055" w:type="dxa"/>
          </w:tcPr>
          <w:p w14:paraId="2A5F3AA9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25A2888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185105" w:rsidRPr="003B0BC7" w14:paraId="4899E99E" w14:textId="77777777">
        <w:trPr>
          <w:cantSplit/>
        </w:trPr>
        <w:tc>
          <w:tcPr>
            <w:tcW w:w="2055" w:type="dxa"/>
          </w:tcPr>
          <w:p w14:paraId="43CC2A1D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A786A7D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6</w:t>
            </w:r>
          </w:p>
        </w:tc>
      </w:tr>
      <w:tr w:rsidR="003278F4" w:rsidRPr="003B0BC7" w14:paraId="0F515163" w14:textId="77777777">
        <w:trPr>
          <w:cantSplit/>
        </w:trPr>
        <w:tc>
          <w:tcPr>
            <w:tcW w:w="2055" w:type="dxa"/>
          </w:tcPr>
          <w:p w14:paraId="53A432AE" w14:textId="77777777" w:rsidR="003278F4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Finanzierung</w:t>
            </w:r>
          </w:p>
        </w:tc>
        <w:tc>
          <w:tcPr>
            <w:tcW w:w="7229" w:type="dxa"/>
          </w:tcPr>
          <w:p w14:paraId="5D3926B5" w14:textId="77777777" w:rsidR="003A20C7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1 </w:t>
            </w:r>
            <w:r w:rsidR="003A20C7" w:rsidRPr="003B0BC7">
              <w:rPr>
                <w:rFonts w:ascii="Arial" w:hAnsi="Arial" w:cs="Arial"/>
              </w:rPr>
              <w:t xml:space="preserve">Die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="003A20C7" w:rsidRPr="003B0BC7">
              <w:rPr>
                <w:rFonts w:ascii="Arial" w:hAnsi="Arial" w:cs="Arial"/>
              </w:rPr>
              <w:t xml:space="preserve"> finanziert sich durch</w:t>
            </w:r>
          </w:p>
          <w:p w14:paraId="748EE45D" w14:textId="77777777" w:rsidR="003A20C7" w:rsidRPr="003B0BC7" w:rsidRDefault="003A20C7" w:rsidP="00752DBB">
            <w:pPr>
              <w:numPr>
                <w:ilvl w:val="0"/>
                <w:numId w:val="8"/>
              </w:numPr>
              <w:tabs>
                <w:tab w:val="clear" w:pos="72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einmalige und jährliche Gebühren</w:t>
            </w:r>
          </w:p>
          <w:p w14:paraId="28DBB23B" w14:textId="77777777" w:rsidR="003A20C7" w:rsidRPr="003B0BC7" w:rsidRDefault="000B3988" w:rsidP="00752DBB">
            <w:pPr>
              <w:tabs>
                <w:tab w:val="left" w:pos="355"/>
              </w:tabs>
              <w:spacing w:afterLines="60" w:after="14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ab/>
            </w:r>
            <w:r w:rsidR="003A20C7" w:rsidRPr="003B0BC7">
              <w:rPr>
                <w:rFonts w:ascii="Arial" w:hAnsi="Arial" w:cs="Arial"/>
              </w:rPr>
              <w:t>Beiträge und Darlehen Dritter</w:t>
            </w:r>
          </w:p>
        </w:tc>
      </w:tr>
      <w:tr w:rsidR="00185105" w:rsidRPr="003B0BC7" w14:paraId="016B5935" w14:textId="77777777">
        <w:trPr>
          <w:cantSplit/>
        </w:trPr>
        <w:tc>
          <w:tcPr>
            <w:tcW w:w="2055" w:type="dxa"/>
          </w:tcPr>
          <w:p w14:paraId="3DABEF2C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8034B45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2 </w:t>
            </w:r>
            <w:r w:rsidRPr="003B0BC7">
              <w:rPr>
                <w:rFonts w:ascii="Arial" w:hAnsi="Arial" w:cs="Arial"/>
              </w:rPr>
              <w:t xml:space="preserve">Die Einwohnergemeinden kann der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Pr="003B0BC7">
              <w:rPr>
                <w:rFonts w:ascii="Arial" w:hAnsi="Arial" w:cs="Arial"/>
              </w:rPr>
              <w:t xml:space="preserve"> ein Darlehen gewähren, das nur für die Wasserversorgung verwendet werden darf. Das Darlehen ist mit ....... % zu verzinsen und mit </w:t>
            </w:r>
            <w:r w:rsidR="0000268D" w:rsidRPr="003B0BC7">
              <w:rPr>
                <w:rFonts w:ascii="Arial" w:hAnsi="Arial" w:cs="Arial"/>
              </w:rPr>
              <w:t>....... </w:t>
            </w:r>
            <w:r w:rsidRPr="003B0BC7">
              <w:rPr>
                <w:rFonts w:ascii="Arial" w:hAnsi="Arial" w:cs="Arial"/>
              </w:rPr>
              <w:t>% jährlich zu amortisieren.</w:t>
            </w:r>
          </w:p>
        </w:tc>
      </w:tr>
      <w:tr w:rsidR="00185105" w:rsidRPr="003B0BC7" w14:paraId="0198C933" w14:textId="77777777">
        <w:trPr>
          <w:cantSplit/>
        </w:trPr>
        <w:tc>
          <w:tcPr>
            <w:tcW w:w="2055" w:type="dxa"/>
          </w:tcPr>
          <w:p w14:paraId="0E49F024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58E5D29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</w:p>
        </w:tc>
      </w:tr>
      <w:tr w:rsidR="00185105" w:rsidRPr="003B0BC7" w14:paraId="619B5EA2" w14:textId="77777777">
        <w:trPr>
          <w:cantSplit/>
        </w:trPr>
        <w:tc>
          <w:tcPr>
            <w:tcW w:w="2055" w:type="dxa"/>
          </w:tcPr>
          <w:p w14:paraId="5D6B567C" w14:textId="77777777" w:rsidR="00185105" w:rsidRPr="003B0BC7" w:rsidRDefault="00EB735F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7229" w:type="dxa"/>
          </w:tcPr>
          <w:p w14:paraId="79E1AC49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7</w:t>
            </w:r>
          </w:p>
        </w:tc>
      </w:tr>
      <w:tr w:rsidR="003278F4" w:rsidRPr="003B0BC7" w14:paraId="75DD66FB" w14:textId="77777777">
        <w:trPr>
          <w:cantSplit/>
        </w:trPr>
        <w:tc>
          <w:tcPr>
            <w:tcW w:w="2055" w:type="dxa"/>
          </w:tcPr>
          <w:p w14:paraId="208A5F45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 xml:space="preserve">Einmalige </w:t>
            </w:r>
            <w:r w:rsidR="00185105" w:rsidRPr="003B0BC7">
              <w:rPr>
                <w:rFonts w:ascii="Arial" w:hAnsi="Arial" w:cs="Arial"/>
                <w:sz w:val="18"/>
                <w:szCs w:val="18"/>
              </w:rPr>
              <w:t>Gebühren</w:t>
            </w:r>
          </w:p>
        </w:tc>
        <w:tc>
          <w:tcPr>
            <w:tcW w:w="7229" w:type="dxa"/>
          </w:tcPr>
          <w:p w14:paraId="77759B8D" w14:textId="77777777" w:rsidR="00CB1E2A" w:rsidRPr="003B0BC7" w:rsidRDefault="00185105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jc w:val="both"/>
              <w:rPr>
                <w:rFonts w:ascii="Arial" w:hAnsi="Arial" w:cs="Arial"/>
                <w:vertAlign w:val="superscript"/>
              </w:rPr>
            </w:pPr>
            <w:r w:rsidRPr="003B0BC7">
              <w:rPr>
                <w:rFonts w:ascii="Arial" w:hAnsi="Arial" w:cs="Arial"/>
                <w:vertAlign w:val="superscript"/>
              </w:rPr>
              <w:t>1</w:t>
            </w:r>
            <w:r w:rsidR="003278F4" w:rsidRPr="003B0BC7">
              <w:rPr>
                <w:rFonts w:ascii="Arial" w:hAnsi="Arial" w:cs="Arial"/>
                <w:vertAlign w:val="superscript"/>
              </w:rPr>
              <w:t xml:space="preserve"> </w:t>
            </w:r>
            <w:r w:rsidR="003278F4" w:rsidRPr="003B0BC7">
              <w:rPr>
                <w:rFonts w:ascii="Arial" w:hAnsi="Arial" w:cs="Arial"/>
              </w:rPr>
              <w:t>Die einmaligen Anschlussgebühren sind aufgrund der Belastungswerte</w:t>
            </w:r>
            <w:r w:rsidR="0000268D">
              <w:rPr>
                <w:rFonts w:ascii="Arial" w:hAnsi="Arial" w:cs="Arial"/>
              </w:rPr>
              <w:t xml:space="preserve"> (BW)</w:t>
            </w:r>
            <w:r w:rsidR="003278F4" w:rsidRPr="003B0BC7">
              <w:rPr>
                <w:rFonts w:ascii="Arial" w:hAnsi="Arial" w:cs="Arial"/>
              </w:rPr>
              <w:t xml:space="preserve"> un</w:t>
            </w:r>
            <w:r w:rsidR="00CB1E2A" w:rsidRPr="003B0BC7">
              <w:rPr>
                <w:rFonts w:ascii="Arial" w:hAnsi="Arial" w:cs="Arial"/>
              </w:rPr>
              <w:t xml:space="preserve">d des gesamten umbauten Raumes </w:t>
            </w:r>
            <w:r w:rsidR="003278F4" w:rsidRPr="003B0BC7">
              <w:rPr>
                <w:rFonts w:ascii="Arial" w:hAnsi="Arial" w:cs="Arial"/>
              </w:rPr>
              <w:t>festzulegen. Die Lösch</w:t>
            </w:r>
            <w:r w:rsidRPr="003B0BC7">
              <w:rPr>
                <w:rFonts w:ascii="Arial" w:hAnsi="Arial" w:cs="Arial"/>
              </w:rPr>
              <w:t>gebühren</w:t>
            </w:r>
            <w:r w:rsidR="003278F4" w:rsidRPr="003B0BC7">
              <w:rPr>
                <w:rFonts w:ascii="Arial" w:hAnsi="Arial" w:cs="Arial"/>
              </w:rPr>
              <w:t xml:space="preserve"> werden auf </w:t>
            </w:r>
            <w:r w:rsidR="00CB1E2A" w:rsidRPr="003B0BC7">
              <w:rPr>
                <w:rFonts w:ascii="Arial" w:hAnsi="Arial" w:cs="Arial"/>
              </w:rPr>
              <w:t>Bauten und Anlagen</w:t>
            </w:r>
            <w:r w:rsidR="003278F4" w:rsidRPr="003B0BC7">
              <w:rPr>
                <w:rFonts w:ascii="Arial" w:hAnsi="Arial" w:cs="Arial"/>
              </w:rPr>
              <w:t xml:space="preserve"> erhoben, die nicht an die öffentliche Wasserversorgung angeschlossen sind. Sie werden aufgrund des gesamten umbauten Raumes berechnet.</w:t>
            </w:r>
          </w:p>
        </w:tc>
      </w:tr>
      <w:tr w:rsidR="00CB1E2A" w:rsidRPr="003B0BC7" w14:paraId="37E665F1" w14:textId="77777777">
        <w:trPr>
          <w:cantSplit/>
        </w:trPr>
        <w:tc>
          <w:tcPr>
            <w:tcW w:w="2055" w:type="dxa"/>
          </w:tcPr>
          <w:p w14:paraId="49C4A7A4" w14:textId="77777777" w:rsidR="00CB1E2A" w:rsidRPr="003B0BC7" w:rsidRDefault="00CB1E2A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 xml:space="preserve">Wiederkehrende </w:t>
            </w:r>
            <w:r w:rsidR="0000268D">
              <w:rPr>
                <w:rFonts w:ascii="Arial" w:hAnsi="Arial" w:cs="Arial"/>
                <w:sz w:val="18"/>
                <w:szCs w:val="18"/>
              </w:rPr>
              <w:br/>
            </w:r>
            <w:r w:rsidRPr="003B0BC7">
              <w:rPr>
                <w:rFonts w:ascii="Arial" w:hAnsi="Arial" w:cs="Arial"/>
                <w:sz w:val="18"/>
                <w:szCs w:val="18"/>
              </w:rPr>
              <w:t>Gebühren</w:t>
            </w:r>
          </w:p>
        </w:tc>
        <w:tc>
          <w:tcPr>
            <w:tcW w:w="7229" w:type="dxa"/>
          </w:tcPr>
          <w:p w14:paraId="18600D2E" w14:textId="77777777" w:rsidR="00CB1E2A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>2</w:t>
            </w:r>
            <w:r w:rsidR="00CB1E2A" w:rsidRPr="003B0BC7">
              <w:rPr>
                <w:rFonts w:ascii="Arial" w:hAnsi="Arial" w:cs="Arial"/>
              </w:rPr>
              <w:t xml:space="preserve"> </w:t>
            </w:r>
            <w:r w:rsidR="00CB1E2A" w:rsidRPr="003B0BC7">
              <w:rPr>
                <w:rFonts w:ascii="Arial" w:hAnsi="Arial" w:cs="Arial"/>
                <w:vertAlign w:val="superscript"/>
              </w:rPr>
              <w:t xml:space="preserve"> </w:t>
            </w:r>
            <w:r w:rsidR="00CB1E2A" w:rsidRPr="003B0BC7">
              <w:rPr>
                <w:rFonts w:ascii="Arial" w:hAnsi="Arial" w:cs="Arial"/>
              </w:rPr>
              <w:t xml:space="preserve">Zur Deckung der Einlagen in die Spezialfinanzierung und der Zinskosten haben die Wasserbezüger/innen jährliche Grundgebühren aufgrund der installierten BW und/oder des umbauten Raumes zu bezahlen. Zur Deckung der Betriebskosten sind jährliche Verbrauchsgebühren je bezogenen m³ Wasser zu erheben. Für nicht angeschlossene Bauten und Anlagen im Bereich des </w:t>
            </w:r>
            <w:r w:rsidR="0044085A" w:rsidRPr="003B0BC7">
              <w:rPr>
                <w:rFonts w:ascii="Arial" w:hAnsi="Arial" w:cs="Arial"/>
              </w:rPr>
              <w:t>Hydrantenlöschschutzes</w:t>
            </w:r>
            <w:r w:rsidR="00CB1E2A" w:rsidRPr="003B0BC7">
              <w:rPr>
                <w:rFonts w:ascii="Arial" w:hAnsi="Arial" w:cs="Arial"/>
              </w:rPr>
              <w:t xml:space="preserve"> können jährliche Löschgebühren aufgrund des umbauten Raumes erhoben werden. </w:t>
            </w:r>
          </w:p>
        </w:tc>
      </w:tr>
      <w:tr w:rsidR="003278F4" w:rsidRPr="003B0BC7" w14:paraId="193D19B5" w14:textId="77777777">
        <w:trPr>
          <w:cantSplit/>
        </w:trPr>
        <w:tc>
          <w:tcPr>
            <w:tcW w:w="2055" w:type="dxa"/>
          </w:tcPr>
          <w:p w14:paraId="1CE1AC4A" w14:textId="77777777" w:rsidR="003278F4" w:rsidRPr="003B0BC7" w:rsidRDefault="003278F4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7229" w:type="dxa"/>
          </w:tcPr>
          <w:p w14:paraId="189B4F47" w14:textId="77777777" w:rsidR="003278F4" w:rsidRPr="003B0BC7" w:rsidRDefault="003278F4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3 </w:t>
            </w:r>
            <w:r w:rsidRPr="003B0BC7">
              <w:rPr>
                <w:rFonts w:ascii="Arial" w:hAnsi="Arial" w:cs="Arial"/>
              </w:rPr>
              <w:t xml:space="preserve">Das </w:t>
            </w:r>
            <w:r w:rsidR="0000268D">
              <w:rPr>
                <w:rFonts w:ascii="Arial" w:hAnsi="Arial" w:cs="Arial"/>
              </w:rPr>
              <w:t>W</w:t>
            </w:r>
            <w:r w:rsidRPr="003B0BC7">
              <w:rPr>
                <w:rFonts w:ascii="Arial" w:hAnsi="Arial" w:cs="Arial"/>
              </w:rPr>
              <w:t>eitere, insbesondere die Art und Höhe der Gebühren und Beiträge, ist im Wasserversorgungsreglement und im Tarif festgelegt.</w:t>
            </w:r>
          </w:p>
        </w:tc>
      </w:tr>
      <w:tr w:rsidR="00185105" w:rsidRPr="003B0BC7" w14:paraId="5EABE0B7" w14:textId="77777777">
        <w:trPr>
          <w:cantSplit/>
        </w:trPr>
        <w:tc>
          <w:tcPr>
            <w:tcW w:w="2055" w:type="dxa"/>
          </w:tcPr>
          <w:p w14:paraId="580FF019" w14:textId="77777777" w:rsidR="00185105" w:rsidRPr="003B0BC7" w:rsidRDefault="00185105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67AC386" w14:textId="77777777" w:rsidR="00185105" w:rsidRPr="003B0BC7" w:rsidRDefault="00185105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</w:tr>
      <w:tr w:rsidR="00185105" w:rsidRPr="003B0BC7" w14:paraId="74398C95" w14:textId="77777777">
        <w:trPr>
          <w:cantSplit/>
        </w:trPr>
        <w:tc>
          <w:tcPr>
            <w:tcW w:w="2055" w:type="dxa"/>
          </w:tcPr>
          <w:p w14:paraId="02D8C232" w14:textId="77777777" w:rsidR="00185105" w:rsidRPr="003B0BC7" w:rsidRDefault="00185105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09EB95A" w14:textId="77777777" w:rsidR="00185105" w:rsidRPr="003B0BC7" w:rsidRDefault="00185105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8</w:t>
            </w:r>
          </w:p>
        </w:tc>
      </w:tr>
      <w:tr w:rsidR="003278F4" w:rsidRPr="003B0BC7" w14:paraId="6ADB3C6B" w14:textId="77777777">
        <w:trPr>
          <w:cantSplit/>
        </w:trPr>
        <w:tc>
          <w:tcPr>
            <w:tcW w:w="2055" w:type="dxa"/>
          </w:tcPr>
          <w:p w14:paraId="5ED32DA2" w14:textId="77777777" w:rsidR="003278F4" w:rsidRPr="003B0BC7" w:rsidRDefault="00CB1E2A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Bearbeitungsgebühren</w:t>
            </w:r>
          </w:p>
        </w:tc>
        <w:tc>
          <w:tcPr>
            <w:tcW w:w="7229" w:type="dxa"/>
          </w:tcPr>
          <w:p w14:paraId="668A8348" w14:textId="77777777" w:rsidR="003278F4" w:rsidRPr="003B0BC7" w:rsidRDefault="00EB735F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1 </w:t>
            </w:r>
            <w:r w:rsidR="0044085A" w:rsidRPr="003B0BC7">
              <w:rPr>
                <w:rFonts w:ascii="Arial" w:hAnsi="Arial" w:cs="Arial"/>
              </w:rPr>
              <w:t xml:space="preserve">Wer gegenüber der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3B0BC7" w:rsidRPr="003B0BC7">
              <w:rPr>
                <w:rFonts w:ascii="Arial" w:hAnsi="Arial" w:cs="Arial"/>
              </w:rPr>
              <w:t>"</w:t>
            </w:r>
            <w:r w:rsidR="0044085A" w:rsidRPr="003B0BC7">
              <w:rPr>
                <w:rFonts w:ascii="Arial" w:hAnsi="Arial" w:cs="Arial"/>
              </w:rPr>
              <w:t xml:space="preserve"> Kosten verursacht</w:t>
            </w:r>
            <w:r w:rsidR="006E045C">
              <w:rPr>
                <w:rFonts w:ascii="Arial" w:hAnsi="Arial" w:cs="Arial"/>
              </w:rPr>
              <w:t>,</w:t>
            </w:r>
            <w:r w:rsidR="0044085A" w:rsidRPr="003B0BC7">
              <w:rPr>
                <w:rFonts w:ascii="Arial" w:hAnsi="Arial" w:cs="Arial"/>
              </w:rPr>
              <w:t xml:space="preserve"> bezahl</w:t>
            </w:r>
            <w:r w:rsidR="006E045C">
              <w:rPr>
                <w:rFonts w:ascii="Arial" w:hAnsi="Arial" w:cs="Arial"/>
              </w:rPr>
              <w:t>t</w:t>
            </w:r>
            <w:r w:rsidR="0044085A" w:rsidRPr="003B0BC7">
              <w:rPr>
                <w:rFonts w:ascii="Arial" w:hAnsi="Arial" w:cs="Arial"/>
              </w:rPr>
              <w:t xml:space="preserve"> eine Bearbeitungsgebühr die sich nach dem Kostendeckungsprinzip richtet.</w:t>
            </w:r>
          </w:p>
        </w:tc>
      </w:tr>
      <w:tr w:rsidR="003278F4" w:rsidRPr="003B0BC7" w14:paraId="05666E62" w14:textId="77777777">
        <w:trPr>
          <w:cantSplit/>
        </w:trPr>
        <w:tc>
          <w:tcPr>
            <w:tcW w:w="2055" w:type="dxa"/>
          </w:tcPr>
          <w:p w14:paraId="77A9B7D9" w14:textId="77777777" w:rsidR="003278F4" w:rsidRPr="003B0BC7" w:rsidRDefault="003278F4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44FEFE16" w14:textId="77777777" w:rsidR="003278F4" w:rsidRPr="003B0BC7" w:rsidRDefault="00EB735F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2 </w:t>
            </w:r>
            <w:r w:rsidR="003278F4" w:rsidRPr="003B0BC7">
              <w:rPr>
                <w:rFonts w:ascii="Arial" w:hAnsi="Arial" w:cs="Arial"/>
              </w:rPr>
              <w:t>Die Gebührenerhebung erfolgt gemäss den Vorschriften des Gesetzes über die Verwaltungsrechtspflege.</w:t>
            </w:r>
          </w:p>
        </w:tc>
      </w:tr>
      <w:tr w:rsidR="003278F4" w:rsidRPr="003B0BC7" w14:paraId="421D65A8" w14:textId="77777777">
        <w:trPr>
          <w:cantSplit/>
        </w:trPr>
        <w:tc>
          <w:tcPr>
            <w:tcW w:w="2055" w:type="dxa"/>
          </w:tcPr>
          <w:p w14:paraId="45A557A7" w14:textId="77777777" w:rsidR="003278F4" w:rsidRPr="003B0BC7" w:rsidRDefault="003278F4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73208864" w14:textId="77777777" w:rsidR="003278F4" w:rsidRPr="003B0BC7" w:rsidRDefault="003278F4" w:rsidP="00752DBB">
            <w:pPr>
              <w:tabs>
                <w:tab w:val="left" w:pos="2520"/>
                <w:tab w:val="left" w:pos="2760"/>
                <w:tab w:val="left" w:pos="3240"/>
                <w:tab w:val="left" w:pos="4560"/>
                <w:tab w:val="left" w:pos="5400"/>
              </w:tabs>
              <w:spacing w:beforeLines="60" w:before="144" w:afterLines="60" w:after="144"/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3278F4" w:rsidRPr="003B0BC7" w14:paraId="6167F93A" w14:textId="77777777">
        <w:trPr>
          <w:cantSplit/>
        </w:trPr>
        <w:tc>
          <w:tcPr>
            <w:tcW w:w="2055" w:type="dxa"/>
          </w:tcPr>
          <w:p w14:paraId="7CD1A549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1BED7C2" w14:textId="77777777" w:rsidR="003278F4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b/>
              </w:rPr>
              <w:t>Artikel 9</w:t>
            </w:r>
          </w:p>
        </w:tc>
      </w:tr>
      <w:tr w:rsidR="003278F4" w:rsidRPr="003B0BC7" w14:paraId="6AA4C222" w14:textId="77777777">
        <w:trPr>
          <w:cantSplit/>
        </w:trPr>
        <w:tc>
          <w:tcPr>
            <w:tcW w:w="2055" w:type="dxa"/>
          </w:tcPr>
          <w:p w14:paraId="6CD11869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Anwendbares Recht</w:t>
            </w:r>
          </w:p>
        </w:tc>
        <w:tc>
          <w:tcPr>
            <w:tcW w:w="7229" w:type="dxa"/>
          </w:tcPr>
          <w:p w14:paraId="2CA25507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 xml:space="preserve">Die </w:t>
            </w:r>
            <w:r w:rsidR="000B3988" w:rsidRPr="003B0BC7">
              <w:rPr>
                <w:rFonts w:ascii="Arial" w:hAnsi="Arial" w:cs="Arial"/>
              </w:rPr>
              <w:t xml:space="preserve">"WV </w:t>
            </w:r>
            <w:r w:rsidR="000B3988" w:rsidRPr="006C6DA2">
              <w:rPr>
                <w:rFonts w:ascii="Arial" w:hAnsi="Arial" w:cs="Arial"/>
                <w:szCs w:val="22"/>
              </w:rPr>
              <w:t>……….</w:t>
            </w:r>
            <w:r w:rsidR="000B3988" w:rsidRPr="003B0BC7">
              <w:rPr>
                <w:rFonts w:ascii="Arial" w:hAnsi="Arial" w:cs="Arial"/>
              </w:rPr>
              <w:t xml:space="preserve">" </w:t>
            </w:r>
            <w:r w:rsidRPr="003B0BC7">
              <w:rPr>
                <w:rFonts w:ascii="Arial" w:hAnsi="Arial" w:cs="Arial"/>
              </w:rPr>
              <w:t>untersteht hinsichtlich ihrer Organisation den Be</w:t>
            </w:r>
            <w:r w:rsidRPr="003B0BC7">
              <w:rPr>
                <w:rFonts w:ascii="Arial" w:hAnsi="Arial" w:cs="Arial"/>
              </w:rPr>
              <w:softHyphen/>
              <w:t>stimmungen des Schweizerischen Obligationenrechts. Hinsichtlich der Erfüllung ihrer Aufgabe untersteht sie den Bestimmungen über die öffentliche Wasserversorgung, insbesondere dem Wasserversorgungsgesetz.</w:t>
            </w:r>
          </w:p>
        </w:tc>
      </w:tr>
      <w:tr w:rsidR="003278F4" w:rsidRPr="003B0BC7" w14:paraId="2E11C252" w14:textId="77777777">
        <w:trPr>
          <w:cantSplit/>
        </w:trPr>
        <w:tc>
          <w:tcPr>
            <w:tcW w:w="2055" w:type="dxa"/>
          </w:tcPr>
          <w:p w14:paraId="4DB89553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D457E79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</w:tr>
      <w:tr w:rsidR="003278F4" w:rsidRPr="003B0BC7" w14:paraId="7E279600" w14:textId="77777777">
        <w:trPr>
          <w:cantSplit/>
        </w:trPr>
        <w:tc>
          <w:tcPr>
            <w:tcW w:w="2055" w:type="dxa"/>
          </w:tcPr>
          <w:p w14:paraId="7A589FDF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34FA3748" w14:textId="77777777" w:rsidR="003278F4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b/>
              </w:rPr>
              <w:t>Artikel 10</w:t>
            </w:r>
          </w:p>
        </w:tc>
      </w:tr>
      <w:tr w:rsidR="003278F4" w:rsidRPr="003B0BC7" w14:paraId="3597B5FE" w14:textId="77777777">
        <w:trPr>
          <w:cantSplit/>
        </w:trPr>
        <w:tc>
          <w:tcPr>
            <w:tcW w:w="2055" w:type="dxa"/>
          </w:tcPr>
          <w:p w14:paraId="4FB27DD4" w14:textId="77777777" w:rsidR="003278F4" w:rsidRPr="003B0BC7" w:rsidRDefault="00CB1E2A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Vertrag</w:t>
            </w:r>
          </w:p>
        </w:tc>
        <w:tc>
          <w:tcPr>
            <w:tcW w:w="7229" w:type="dxa"/>
          </w:tcPr>
          <w:p w14:paraId="0D92035D" w14:textId="77777777" w:rsidR="003278F4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1 </w:t>
            </w:r>
            <w:r w:rsidR="00CB1E2A" w:rsidRPr="003B0BC7">
              <w:rPr>
                <w:rFonts w:ascii="Arial" w:hAnsi="Arial" w:cs="Arial"/>
              </w:rPr>
              <w:t xml:space="preserve">Der Gemeinderat regelt die Übertragung der </w:t>
            </w:r>
            <w:r w:rsidR="0044085A" w:rsidRPr="003B0BC7">
              <w:rPr>
                <w:rFonts w:ascii="Arial" w:hAnsi="Arial" w:cs="Arial"/>
              </w:rPr>
              <w:t>Wasserversorgungsaufgabe</w:t>
            </w:r>
            <w:r w:rsidR="00CB1E2A" w:rsidRPr="003B0BC7">
              <w:rPr>
                <w:rFonts w:ascii="Arial" w:hAnsi="Arial" w:cs="Arial"/>
              </w:rPr>
              <w:t xml:space="preserve"> durch </w:t>
            </w:r>
            <w:r w:rsidR="00AE071F" w:rsidRPr="003B0BC7">
              <w:rPr>
                <w:rFonts w:ascii="Arial" w:hAnsi="Arial" w:cs="Arial"/>
              </w:rPr>
              <w:t>eine Vereinbarung</w:t>
            </w:r>
            <w:r w:rsidR="00CB1E2A" w:rsidRPr="003B0BC7">
              <w:rPr>
                <w:rFonts w:ascii="Arial" w:hAnsi="Arial" w:cs="Arial"/>
              </w:rPr>
              <w:t xml:space="preserve"> mit den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6E045C">
              <w:rPr>
                <w:rFonts w:ascii="Arial" w:hAnsi="Arial" w:cs="Arial"/>
              </w:rPr>
              <w:t>"</w:t>
            </w:r>
            <w:r w:rsidR="00CB1E2A" w:rsidRPr="003B0BC7">
              <w:rPr>
                <w:rFonts w:ascii="Arial" w:hAnsi="Arial" w:cs="Arial"/>
              </w:rPr>
              <w:t>.</w:t>
            </w:r>
          </w:p>
        </w:tc>
      </w:tr>
      <w:tr w:rsidR="003278F4" w:rsidRPr="003B0BC7" w14:paraId="37DFA149" w14:textId="77777777">
        <w:trPr>
          <w:cantSplit/>
        </w:trPr>
        <w:tc>
          <w:tcPr>
            <w:tcW w:w="2055" w:type="dxa"/>
          </w:tcPr>
          <w:p w14:paraId="182D9563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7C8AEB7" w14:textId="77777777" w:rsidR="003278F4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vertAlign w:val="superscript"/>
              </w:rPr>
              <w:t xml:space="preserve">2 </w:t>
            </w:r>
            <w:r w:rsidR="00CB1E2A" w:rsidRPr="003B0BC7">
              <w:rPr>
                <w:rFonts w:ascii="Arial" w:hAnsi="Arial" w:cs="Arial"/>
              </w:rPr>
              <w:t xml:space="preserve">Er regelt darin </w:t>
            </w:r>
            <w:r w:rsidR="0044085A" w:rsidRPr="003B0BC7">
              <w:rPr>
                <w:rFonts w:ascii="Arial" w:hAnsi="Arial" w:cs="Arial"/>
              </w:rPr>
              <w:t>insbesondere</w:t>
            </w:r>
          </w:p>
          <w:p w14:paraId="58E35B5A" w14:textId="77777777" w:rsidR="00CB1E2A" w:rsidRPr="003B0BC7" w:rsidRDefault="00CB1E2A" w:rsidP="00752DBB">
            <w:pPr>
              <w:numPr>
                <w:ilvl w:val="0"/>
                <w:numId w:val="10"/>
              </w:numPr>
              <w:tabs>
                <w:tab w:val="clear" w:pos="720"/>
              </w:tabs>
              <w:ind w:left="357" w:hanging="357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den Perimeter des Versorgungsgebietes</w:t>
            </w:r>
          </w:p>
          <w:p w14:paraId="2534605E" w14:textId="77777777" w:rsidR="00CB1E2A" w:rsidRPr="003B0BC7" w:rsidRDefault="00CB1E2A" w:rsidP="00752DBB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die Zusammenarbeit mit der Einwohnergemeinde</w:t>
            </w:r>
          </w:p>
          <w:p w14:paraId="6561B35D" w14:textId="77777777" w:rsidR="00CB1E2A" w:rsidRPr="003B0BC7" w:rsidRDefault="00CB1E2A" w:rsidP="00752DBB">
            <w:pPr>
              <w:numPr>
                <w:ilvl w:val="0"/>
                <w:numId w:val="10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die Gewährung von Darlehen</w:t>
            </w:r>
          </w:p>
          <w:p w14:paraId="702ADFFB" w14:textId="77777777" w:rsidR="00CB1E2A" w:rsidRPr="003B0BC7" w:rsidRDefault="00CB1E2A" w:rsidP="00752DBB">
            <w:pPr>
              <w:numPr>
                <w:ilvl w:val="0"/>
                <w:numId w:val="10"/>
              </w:numPr>
              <w:tabs>
                <w:tab w:val="clear" w:pos="720"/>
              </w:tabs>
              <w:spacing w:after="60"/>
              <w:ind w:left="357" w:hanging="357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 xml:space="preserve">besondere Pflichten der </w:t>
            </w:r>
            <w:r w:rsidR="003B0BC7" w:rsidRPr="003B0BC7">
              <w:rPr>
                <w:rFonts w:ascii="Arial" w:hAnsi="Arial" w:cs="Arial"/>
              </w:rPr>
              <w:t xml:space="preserve">"WV </w:t>
            </w:r>
            <w:r w:rsidR="00B5483C" w:rsidRPr="006C6DA2">
              <w:rPr>
                <w:rFonts w:ascii="Arial" w:hAnsi="Arial" w:cs="Arial"/>
                <w:szCs w:val="22"/>
              </w:rPr>
              <w:t>……….</w:t>
            </w:r>
            <w:r w:rsidR="006E045C">
              <w:rPr>
                <w:rFonts w:ascii="Arial" w:hAnsi="Arial" w:cs="Arial"/>
              </w:rPr>
              <w:t>"</w:t>
            </w:r>
          </w:p>
        </w:tc>
      </w:tr>
      <w:tr w:rsidR="00185105" w:rsidRPr="003B0BC7" w14:paraId="0E4BE1DC" w14:textId="77777777">
        <w:trPr>
          <w:cantSplit/>
        </w:trPr>
        <w:tc>
          <w:tcPr>
            <w:tcW w:w="2055" w:type="dxa"/>
          </w:tcPr>
          <w:p w14:paraId="193B462A" w14:textId="77777777" w:rsidR="00185105" w:rsidRPr="003B0BC7" w:rsidRDefault="00185105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1FF682B" w14:textId="77777777" w:rsidR="00185105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</w:tr>
      <w:tr w:rsidR="003278F4" w:rsidRPr="003B0BC7" w14:paraId="17C866AD" w14:textId="77777777">
        <w:trPr>
          <w:cantSplit/>
        </w:trPr>
        <w:tc>
          <w:tcPr>
            <w:tcW w:w="2055" w:type="dxa"/>
          </w:tcPr>
          <w:p w14:paraId="10247D28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2E21EE7" w14:textId="77777777" w:rsidR="003278F4" w:rsidRPr="003B0BC7" w:rsidRDefault="00185105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  <w:b/>
              </w:rPr>
              <w:t>Artikel 11</w:t>
            </w:r>
            <w:r w:rsidRPr="003B0BC7">
              <w:rPr>
                <w:rFonts w:ascii="Arial" w:hAnsi="Arial" w:cs="Arial"/>
              </w:rPr>
              <w:t xml:space="preserve"> </w:t>
            </w:r>
          </w:p>
        </w:tc>
      </w:tr>
      <w:tr w:rsidR="003278F4" w:rsidRPr="003B0BC7" w14:paraId="3DB5E885" w14:textId="77777777">
        <w:trPr>
          <w:cantSplit/>
        </w:trPr>
        <w:tc>
          <w:tcPr>
            <w:tcW w:w="2055" w:type="dxa"/>
          </w:tcPr>
          <w:p w14:paraId="7E17BDC1" w14:textId="77777777" w:rsidR="003278F4" w:rsidRPr="003B0BC7" w:rsidRDefault="003278F4" w:rsidP="00752DB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B0BC7">
              <w:rPr>
                <w:rFonts w:ascii="Arial" w:hAnsi="Arial" w:cs="Arial"/>
                <w:sz w:val="18"/>
                <w:szCs w:val="18"/>
              </w:rPr>
              <w:t>Inkrafttreten</w:t>
            </w:r>
          </w:p>
        </w:tc>
        <w:tc>
          <w:tcPr>
            <w:tcW w:w="7229" w:type="dxa"/>
          </w:tcPr>
          <w:p w14:paraId="6FD79D2E" w14:textId="77777777" w:rsidR="003278F4" w:rsidRPr="003B0BC7" w:rsidRDefault="003278F4" w:rsidP="00752DBB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3B0BC7">
              <w:rPr>
                <w:rFonts w:ascii="Arial" w:hAnsi="Arial" w:cs="Arial"/>
              </w:rPr>
              <w:t>Diese</w:t>
            </w:r>
            <w:r w:rsidR="00CB1E2A" w:rsidRPr="003B0BC7">
              <w:rPr>
                <w:rFonts w:ascii="Arial" w:hAnsi="Arial" w:cs="Arial"/>
              </w:rPr>
              <w:t>s Reglement tritt am …………</w:t>
            </w:r>
            <w:r w:rsidR="006E045C">
              <w:rPr>
                <w:rFonts w:ascii="Arial" w:hAnsi="Arial" w:cs="Arial"/>
              </w:rPr>
              <w:t>………………</w:t>
            </w:r>
            <w:r w:rsidR="00CB1E2A" w:rsidRPr="003B0BC7">
              <w:rPr>
                <w:rFonts w:ascii="Arial" w:hAnsi="Arial" w:cs="Arial"/>
              </w:rPr>
              <w:t>…</w:t>
            </w:r>
            <w:r w:rsidR="006E045C">
              <w:rPr>
                <w:rFonts w:ascii="Arial" w:hAnsi="Arial" w:cs="Arial"/>
              </w:rPr>
              <w:t xml:space="preserve"> in Kraft.</w:t>
            </w:r>
          </w:p>
        </w:tc>
      </w:tr>
    </w:tbl>
    <w:p w14:paraId="06A60512" w14:textId="77777777" w:rsidR="008E3FD3" w:rsidRPr="003B0BC7" w:rsidRDefault="008E3FD3" w:rsidP="00F05598">
      <w:pPr>
        <w:rPr>
          <w:rFonts w:ascii="Arial" w:hAnsi="Arial" w:cs="Arial"/>
        </w:rPr>
      </w:pPr>
    </w:p>
    <w:p w14:paraId="2A1D3358" w14:textId="77777777" w:rsidR="00185105" w:rsidRPr="003B0BC7" w:rsidRDefault="00185105" w:rsidP="00F05598">
      <w:pPr>
        <w:rPr>
          <w:rFonts w:ascii="Arial" w:hAnsi="Arial" w:cs="Arial"/>
        </w:rPr>
      </w:pPr>
    </w:p>
    <w:p w14:paraId="3D478C76" w14:textId="77777777" w:rsidR="008E3FD3" w:rsidRPr="003B0BC7" w:rsidRDefault="008E3FD3" w:rsidP="00F05598">
      <w:pPr>
        <w:rPr>
          <w:rFonts w:ascii="Arial" w:hAnsi="Arial" w:cs="Arial"/>
        </w:rPr>
      </w:pPr>
      <w:r w:rsidRPr="003B0BC7">
        <w:rPr>
          <w:rFonts w:ascii="Arial" w:hAnsi="Arial" w:cs="Arial"/>
        </w:rPr>
        <w:t>So beraten und angenommen an der Gemeindeversammlung vom ............................</w:t>
      </w:r>
    </w:p>
    <w:p w14:paraId="7CE46E5E" w14:textId="77777777" w:rsidR="008E3FD3" w:rsidRPr="003B0BC7" w:rsidRDefault="008E3FD3" w:rsidP="00F05598">
      <w:pPr>
        <w:rPr>
          <w:rFonts w:ascii="Arial" w:hAnsi="Arial" w:cs="Arial"/>
        </w:rPr>
      </w:pPr>
    </w:p>
    <w:p w14:paraId="626B14BE" w14:textId="7AB7EE89" w:rsidR="008E3FD3" w:rsidRPr="003B0BC7" w:rsidRDefault="00CB1E2A" w:rsidP="00F05598">
      <w:pPr>
        <w:ind w:left="4536"/>
        <w:rPr>
          <w:rFonts w:ascii="Arial" w:hAnsi="Arial" w:cs="Arial"/>
        </w:rPr>
      </w:pPr>
      <w:r w:rsidRPr="003B0BC7">
        <w:rPr>
          <w:rFonts w:ascii="Arial" w:hAnsi="Arial" w:cs="Arial"/>
        </w:rPr>
        <w:t>Namens der</w:t>
      </w:r>
      <w:r w:rsidR="008E3FD3" w:rsidRPr="003B0BC7">
        <w:rPr>
          <w:rFonts w:ascii="Arial" w:hAnsi="Arial" w:cs="Arial"/>
        </w:rPr>
        <w:t xml:space="preserve"> Einwohnergemeinde</w:t>
      </w:r>
      <w:r w:rsidR="00154A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6E529" wp14:editId="606E18BD">
                <wp:simplePos x="0" y="0"/>
                <wp:positionH relativeFrom="column">
                  <wp:posOffset>2052320</wp:posOffset>
                </wp:positionH>
                <wp:positionV relativeFrom="paragraph">
                  <wp:posOffset>9018270</wp:posOffset>
                </wp:positionV>
                <wp:extent cx="1447800" cy="533400"/>
                <wp:effectExtent l="0" t="0" r="0" b="0"/>
                <wp:wrapNone/>
                <wp:docPr id="5569711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CB791" w14:textId="77777777" w:rsidR="00064928" w:rsidRDefault="00064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E529" id="Text Box 10" o:spid="_x0000_s1027" type="#_x0000_t202" style="position:absolute;left:0;text-align:left;margin-left:161.6pt;margin-top:710.1pt;width:114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" stroked="f">
                <v:textbox>
                  <w:txbxContent>
                    <w:p w14:paraId="629CB791" w14:textId="77777777" w:rsidR="00064928" w:rsidRDefault="00064928"/>
                  </w:txbxContent>
                </v:textbox>
              </v:shape>
            </w:pict>
          </mc:Fallback>
        </mc:AlternateContent>
      </w:r>
    </w:p>
    <w:sectPr w:rsidR="008E3FD3" w:rsidRPr="003B0BC7" w:rsidSect="006E045C">
      <w:headerReference w:type="default" r:id="rId7"/>
      <w:footerReference w:type="default" r:id="rId8"/>
      <w:footerReference w:type="first" r:id="rId9"/>
      <w:pgSz w:w="11907" w:h="16840" w:code="9"/>
      <w:pgMar w:top="1701" w:right="1134" w:bottom="1701" w:left="1588" w:header="720" w:footer="3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5E54" w14:textId="77777777" w:rsidR="00474DA1" w:rsidRDefault="00474DA1">
      <w:r>
        <w:separator/>
      </w:r>
    </w:p>
  </w:endnote>
  <w:endnote w:type="continuationSeparator" w:id="0">
    <w:p w14:paraId="699D27AA" w14:textId="77777777" w:rsidR="00474DA1" w:rsidRDefault="0047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0319" w14:textId="77777777" w:rsidR="00064928" w:rsidRPr="00E32D6C" w:rsidRDefault="00064928" w:rsidP="00E32D6C">
    <w:pPr>
      <w:pStyle w:val="Fuzeile"/>
      <w:rPr>
        <w:szCs w:val="12"/>
      </w:rPr>
    </w:pPr>
    <w:r>
      <w:rPr>
        <w:rStyle w:val="Seitenzahl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02399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8743" w14:textId="77777777" w:rsidR="00064928" w:rsidRPr="00E32D6C" w:rsidRDefault="00064928" w:rsidP="00E32D6C">
    <w:pPr>
      <w:pStyle w:val="Fuzeile"/>
      <w:rPr>
        <w:szCs w:val="12"/>
      </w:rPr>
    </w:pPr>
    <w:r>
      <w:rPr>
        <w:szCs w:val="12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02399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49F6" w14:textId="77777777" w:rsidR="00474DA1" w:rsidRDefault="00474DA1">
      <w:r>
        <w:separator/>
      </w:r>
    </w:p>
  </w:footnote>
  <w:footnote w:type="continuationSeparator" w:id="0">
    <w:p w14:paraId="0A129938" w14:textId="77777777" w:rsidR="00474DA1" w:rsidRDefault="00474DA1">
      <w:r>
        <w:continuationSeparator/>
      </w:r>
    </w:p>
  </w:footnote>
  <w:footnote w:id="1">
    <w:p w14:paraId="4D0B1E35" w14:textId="77777777" w:rsidR="00064928" w:rsidRDefault="00064928">
      <w:pPr>
        <w:pStyle w:val="Funotentext"/>
      </w:pPr>
      <w:r>
        <w:rPr>
          <w:rStyle w:val="Funotenzeichen"/>
        </w:rPr>
        <w:footnoteRef/>
      </w:r>
      <w:r>
        <w:t xml:space="preserve"> Denkbar sind auch verschiedene Trägerschaften. In diesem Fall ist Artikel </w:t>
      </w:r>
      <w:r w:rsidR="000B3988">
        <w:t>3a</w:t>
      </w:r>
      <w:r>
        <w:t xml:space="preserve"> besonders zu beachten</w:t>
      </w:r>
    </w:p>
  </w:footnote>
  <w:footnote w:id="2">
    <w:p w14:paraId="3E92A627" w14:textId="77777777" w:rsidR="00064928" w:rsidRDefault="0006492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5483C">
        <w:t>Aufzunehmen, wenn in einer Gemeinde verschiedene Trägerschaften bestehen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96E6" w14:textId="77777777" w:rsidR="00064928" w:rsidRPr="00E32D6C" w:rsidRDefault="00064928" w:rsidP="00E32D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20246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1D7550"/>
    <w:multiLevelType w:val="multilevel"/>
    <w:tmpl w:val="272056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7B6"/>
    <w:multiLevelType w:val="hybridMultilevel"/>
    <w:tmpl w:val="A1884E1A"/>
    <w:lvl w:ilvl="0" w:tplc="A35C9C2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 w15:restartNumberingAfterBreak="0">
    <w:nsid w:val="0FA01061"/>
    <w:multiLevelType w:val="multilevel"/>
    <w:tmpl w:val="EA4E71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B547C"/>
    <w:multiLevelType w:val="multilevel"/>
    <w:tmpl w:val="357889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80233"/>
    <w:multiLevelType w:val="hybridMultilevel"/>
    <w:tmpl w:val="9B7A1866"/>
    <w:lvl w:ilvl="0" w:tplc="3DAC7D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E5B2F"/>
    <w:multiLevelType w:val="hybridMultilevel"/>
    <w:tmpl w:val="EA4E713A"/>
    <w:lvl w:ilvl="0" w:tplc="3DAC7D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00316C"/>
    <w:multiLevelType w:val="multilevel"/>
    <w:tmpl w:val="9B7A1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A48E7"/>
    <w:multiLevelType w:val="hybridMultilevel"/>
    <w:tmpl w:val="14704A98"/>
    <w:lvl w:ilvl="0" w:tplc="38E40BAC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9" w15:restartNumberingAfterBreak="0">
    <w:nsid w:val="48134A0A"/>
    <w:multiLevelType w:val="hybridMultilevel"/>
    <w:tmpl w:val="27205636"/>
    <w:lvl w:ilvl="0" w:tplc="5A3AC8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D418A"/>
    <w:multiLevelType w:val="hybridMultilevel"/>
    <w:tmpl w:val="2938A292"/>
    <w:lvl w:ilvl="0" w:tplc="38E87B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D2419"/>
    <w:multiLevelType w:val="hybridMultilevel"/>
    <w:tmpl w:val="BB6A5F48"/>
    <w:lvl w:ilvl="0" w:tplc="A35C9C2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4373D"/>
    <w:multiLevelType w:val="multilevel"/>
    <w:tmpl w:val="1BC238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810427">
    <w:abstractNumId w:val="0"/>
  </w:num>
  <w:num w:numId="2" w16cid:durableId="2101176130">
    <w:abstractNumId w:val="11"/>
  </w:num>
  <w:num w:numId="3" w16cid:durableId="292563375">
    <w:abstractNumId w:val="5"/>
  </w:num>
  <w:num w:numId="4" w16cid:durableId="1239512701">
    <w:abstractNumId w:val="4"/>
  </w:num>
  <w:num w:numId="5" w16cid:durableId="1919511429">
    <w:abstractNumId w:val="6"/>
  </w:num>
  <w:num w:numId="6" w16cid:durableId="343022003">
    <w:abstractNumId w:val="12"/>
  </w:num>
  <w:num w:numId="7" w16cid:durableId="570847150">
    <w:abstractNumId w:val="7"/>
  </w:num>
  <w:num w:numId="8" w16cid:durableId="975449518">
    <w:abstractNumId w:val="8"/>
  </w:num>
  <w:num w:numId="9" w16cid:durableId="784999775">
    <w:abstractNumId w:val="3"/>
  </w:num>
  <w:num w:numId="10" w16cid:durableId="2001956502">
    <w:abstractNumId w:val="2"/>
  </w:num>
  <w:num w:numId="11" w16cid:durableId="1018040282">
    <w:abstractNumId w:val="9"/>
  </w:num>
  <w:num w:numId="12" w16cid:durableId="1183515019">
    <w:abstractNumId w:val="1"/>
  </w:num>
  <w:num w:numId="13" w16cid:durableId="1818495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98"/>
    <w:rsid w:val="0000268D"/>
    <w:rsid w:val="00024D30"/>
    <w:rsid w:val="00063FC6"/>
    <w:rsid w:val="00064928"/>
    <w:rsid w:val="000B3988"/>
    <w:rsid w:val="00102683"/>
    <w:rsid w:val="0013403A"/>
    <w:rsid w:val="00154A03"/>
    <w:rsid w:val="00154EB5"/>
    <w:rsid w:val="001674D9"/>
    <w:rsid w:val="00185105"/>
    <w:rsid w:val="001942A3"/>
    <w:rsid w:val="001D7D78"/>
    <w:rsid w:val="002B148E"/>
    <w:rsid w:val="002E7237"/>
    <w:rsid w:val="003278F4"/>
    <w:rsid w:val="00367BE0"/>
    <w:rsid w:val="003A20C7"/>
    <w:rsid w:val="003B0BC7"/>
    <w:rsid w:val="003F1C75"/>
    <w:rsid w:val="0044085A"/>
    <w:rsid w:val="00474DA1"/>
    <w:rsid w:val="005C74D0"/>
    <w:rsid w:val="00607EA4"/>
    <w:rsid w:val="006E045C"/>
    <w:rsid w:val="00702399"/>
    <w:rsid w:val="00717197"/>
    <w:rsid w:val="00752DBB"/>
    <w:rsid w:val="007F0153"/>
    <w:rsid w:val="00861240"/>
    <w:rsid w:val="008E3FD3"/>
    <w:rsid w:val="009A63AC"/>
    <w:rsid w:val="00AE071F"/>
    <w:rsid w:val="00B5483C"/>
    <w:rsid w:val="00B668FD"/>
    <w:rsid w:val="00CB1E2A"/>
    <w:rsid w:val="00E32D6C"/>
    <w:rsid w:val="00E850B7"/>
    <w:rsid w:val="00EB21D8"/>
    <w:rsid w:val="00EB735F"/>
    <w:rsid w:val="00F048A6"/>
    <w:rsid w:val="00F05598"/>
    <w:rsid w:val="00FA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5704C6"/>
  <w15:chartTrackingRefBased/>
  <w15:docId w15:val="{A7CCFF5D-6CAC-4084-93D8-0B4626A2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before="240"/>
      <w:ind w:left="352" w:hanging="352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spacing w:before="120"/>
      <w:ind w:left="352" w:hanging="352"/>
      <w:outlineLvl w:val="1"/>
    </w:p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ind w:left="352" w:hanging="352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nis">
    <w:name w:val="Betreffnis"/>
    <w:basedOn w:val="Standard"/>
    <w:next w:val="Standard"/>
    <w:rPr>
      <w:b/>
      <w:sz w:val="24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  <w:jc w:val="both"/>
    </w:pPr>
    <w:rPr>
      <w:sz w:val="24"/>
    </w:rPr>
  </w:style>
  <w:style w:type="paragraph" w:customStyle="1" w:styleId="----Abschnitt">
    <w:name w:val="- - - - Abschnitt"/>
    <w:basedOn w:val="Standard"/>
    <w:pPr>
      <w:ind w:left="1418" w:hanging="352"/>
    </w:pPr>
  </w:style>
  <w:style w:type="paragraph" w:customStyle="1" w:styleId="---Abschnitt">
    <w:name w:val="- - - Abschnitt"/>
    <w:basedOn w:val="Standard"/>
    <w:pPr>
      <w:ind w:left="1066" w:hanging="352"/>
    </w:pPr>
  </w:style>
  <w:style w:type="paragraph" w:customStyle="1" w:styleId="--Abschnitt">
    <w:name w:val="- - Abschnitt"/>
    <w:basedOn w:val="Standard"/>
    <w:pPr>
      <w:ind w:left="709" w:hanging="357"/>
    </w:pPr>
  </w:style>
  <w:style w:type="paragraph" w:customStyle="1" w:styleId="-Abschnitt">
    <w:name w:val="- Abschnitt"/>
    <w:basedOn w:val="Standard"/>
    <w:pPr>
      <w:ind w:left="352" w:hanging="352"/>
    </w:pPr>
  </w:style>
  <w:style w:type="paragraph" w:styleId="Standardeinzug">
    <w:name w:val="Normal Indent"/>
    <w:basedOn w:val="Standard"/>
    <w:pPr>
      <w:ind w:left="567"/>
      <w:jc w:val="both"/>
    </w:pPr>
    <w:rPr>
      <w:sz w:val="24"/>
    </w:rPr>
  </w:style>
  <w:style w:type="paragraph" w:styleId="Verzeichnis1">
    <w:name w:val="toc 1"/>
    <w:basedOn w:val="Standard"/>
    <w:next w:val="Standard"/>
    <w:semiHidden/>
    <w:pPr>
      <w:tabs>
        <w:tab w:val="right" w:leader="dot" w:pos="9242"/>
      </w:tabs>
    </w:pPr>
    <w:rPr>
      <w:b/>
    </w:rPr>
  </w:style>
  <w:style w:type="paragraph" w:styleId="Verzeichnis2">
    <w:name w:val="toc 2"/>
    <w:basedOn w:val="Standard"/>
    <w:next w:val="Standard"/>
    <w:semiHidden/>
    <w:pPr>
      <w:tabs>
        <w:tab w:val="right" w:leader="dot" w:pos="9242"/>
      </w:tabs>
    </w:pPr>
  </w:style>
  <w:style w:type="paragraph" w:styleId="Verzeichnis3">
    <w:name w:val="toc 3"/>
    <w:basedOn w:val="Standard"/>
    <w:next w:val="Standard"/>
    <w:semiHidden/>
    <w:pPr>
      <w:tabs>
        <w:tab w:val="right" w:leader="dot" w:pos="924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kument">
    <w:name w:val="Dokument"/>
    <w:basedOn w:val="Fuzeile"/>
    <w:pPr>
      <w:jc w:val="both"/>
    </w:pPr>
    <w:rPr>
      <w:sz w:val="10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character" w:styleId="Seitenzahl">
    <w:name w:val="page number"/>
    <w:basedOn w:val="Absatz-Standardschriftart"/>
    <w:rsid w:val="00E3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SOFFICE\VORLAGEN\BVE%20WORD\NEUTR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NEUTRAL.DOT</Template>
  <TotalTime>0</TotalTime>
  <Pages>4</Pages>
  <Words>641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Uebertragungsvertrag Wasserversorgungsaufgabe</vt:lpstr>
    </vt:vector>
  </TitlesOfParts>
  <Company>BVE_AWA_SWW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Uebertragungsvertrag Wasserversorgungsaufgabe</dc:title>
  <dc:subject>Musterreglement Uebertragung der Wasserversorgungsaufgabe</dc:subject>
  <dc:creator>Fachbereich Wasserversorgung</dc:creator>
  <cp:keywords/>
  <dc:description/>
  <cp:lastModifiedBy>Margot Nadja, BVD-AWA-ID-ADM</cp:lastModifiedBy>
  <cp:revision>2</cp:revision>
  <cp:lastPrinted>2004-06-09T09:13:00Z</cp:lastPrinted>
  <dcterms:created xsi:type="dcterms:W3CDTF">2025-01-31T06:54:00Z</dcterms:created>
  <dcterms:modified xsi:type="dcterms:W3CDTF">2025-01-31T06:54:00Z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kID">
    <vt:lpwstr>DOCP-#22655-v1-MUSTER_REGLEMENT_FÜR_DIE_UEBERTRAGUNG_VRL_BY_DOC.DOC</vt:lpwstr>
  </property>
  <property fmtid="{D5CDD505-2E9C-101B-9397-08002B2CF9AE}" pid="3" name="bve_Autor">
    <vt:lpwstr>Jsabelle Blunschy-Scheidegger</vt:lpwstr>
  </property>
  <property fmtid="{D5CDD505-2E9C-101B-9397-08002B2CF9AE}" pid="4" name="def_Seite">
    <vt:lpwstr>Seite</vt:lpwstr>
  </property>
  <property fmtid="{D5CDD505-2E9C-101B-9397-08002B2CF9AE}" pid="5" name="def_Seitevon">
    <vt:lpwstr>von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2025-01-24T16:47:16Z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ee83ab57-edfd-4847-8e5b-b97ebc49c568</vt:lpwstr>
  </property>
  <property fmtid="{D5CDD505-2E9C-101B-9397-08002B2CF9AE}" pid="12" name="MSIP_Label_74fdd986-87d9-48c6-acda-407b1ab5fef0_ContentBits">
    <vt:lpwstr>0</vt:lpwstr>
  </property>
</Properties>
</file>